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aps/>
          <w:color w:val="C9962B"/>
          <w:sz w:val="28"/>
          <w:szCs w:val="28"/>
        </w:rPr>
        <w:t xml:space="preserve">LEGALTEK.AI</w:t>
      </w:r>
    </w:p>
    <w:p>
      <w:pPr>
        <w:spacing w:before="0" w:after="40"/>
        <w:jc w:val="center"/>
      </w:pPr>
      <w:r>
        <w:rPr>
          <w:rFonts w:ascii="Arial" w:cs="Arial" w:eastAsia="Arial" w:hAnsi="Arial"/>
          <w:caps/>
          <w:color w:val="1B3A6B"/>
          <w:sz w:val="20"/>
          <w:szCs w:val="20"/>
        </w:rPr>
        <w:t xml:space="preserve">INTELLIGENCE BRIEF</w:t>
      </w:r>
    </w:p>
    <w:p>
      <w:pPr>
        <w:pBdr>
          <w:bottom w:val="single" w:color="C9962B" w:sz="8" w:space="1"/>
        </w:pBdr>
        <w:spacing w:before="120" w:after="120"/>
      </w:pPr>
    </w:p>
    <w:p>
      <w:pPr>
        <w:spacing w:before="40" w:after="0"/>
      </w:pPr>
    </w:p>
    <w:p>
      <w:pPr>
        <w:spacing w:before="0" w:after="120"/>
        <w:jc w:val="center"/>
      </w:pPr>
      <w:r>
        <w:rPr>
          <w:rFonts w:ascii="Arial" w:cs="Arial" w:eastAsia="Arial" w:hAnsi="Arial"/>
          <w:b/>
          <w:bCs/>
          <w:color w:val="1B3A6B"/>
          <w:sz w:val="44"/>
          <w:szCs w:val="44"/>
        </w:rPr>
        <w:t xml:space="preserve">The Motivated Machine in the Courtroom:</w:t>
      </w:r>
    </w:p>
    <w:p>
      <w:pPr>
        <w:spacing w:before="0" w:after="120"/>
        <w:jc w:val="center"/>
      </w:pPr>
      <w:r>
        <w:rPr>
          <w:rFonts w:ascii="Arial" w:cs="Arial" w:eastAsia="Arial" w:hAnsi="Arial"/>
          <w:b w:val="false"/>
          <w:bCs w:val="false"/>
          <w:color w:val="1B3A6B"/>
          <w:sz w:val="36"/>
          <w:szCs w:val="36"/>
        </w:rPr>
        <w:t xml:space="preserve">How PSI Cognitive Architecture Is Reshaping the Future of Legal AI</w:t>
      </w:r>
    </w:p>
    <w:p>
      <w:pPr>
        <w:spacing w:before="40" w:after="180"/>
        <w:jc w:val="center"/>
      </w:pPr>
      <w:r>
        <w:rPr>
          <w:rFonts w:ascii="Georgia" w:cs="Georgia" w:eastAsia="Georgia" w:hAnsi="Georgia"/>
          <w:i/>
          <w:iCs/>
          <w:color w:val="444444"/>
          <w:sz w:val="24"/>
          <w:szCs w:val="24"/>
        </w:rPr>
        <w:t xml:space="preserve">A new framework — borrowed from cognitive science, built for legal practice — could render today's AI legal tools obsolete. Here's what's coming, why it matters, and how SilverTung is already building it.</w:t>
      </w:r>
    </w:p>
    <w:p>
      <w:pPr>
        <w:spacing w:before="0" w:after="40"/>
        <w:jc w:val="center"/>
      </w:pPr>
      <w:r>
        <w:rPr>
          <w:rFonts w:ascii="Arial" w:cs="Arial" w:eastAsia="Arial" w:hAnsi="Arial"/>
          <w:b/>
          <w:bCs/>
          <w:color w:val="1B3A6B"/>
          <w:sz w:val="18"/>
          <w:szCs w:val="18"/>
        </w:rPr>
        <w:t xml:space="preserve">BY MATT MISHAK  |  FOUNDER &amp; CEO, LEGALTEK.AI (d/b/a SilverTung)</w:t>
      </w:r>
    </w:p>
    <w:p>
      <w:pPr>
        <w:spacing w:before="0" w:after="40"/>
        <w:jc w:val="center"/>
      </w:pPr>
      <w:r>
        <w:rPr>
          <w:rFonts w:ascii="Arial" w:cs="Arial" w:eastAsia="Arial" w:hAnsi="Arial"/>
          <w:i/>
          <w:iCs/>
          <w:color w:val="888888"/>
          <w:sz w:val="18"/>
          <w:szCs w:val="18"/>
        </w:rPr>
        <w:t xml:space="preserve">20-Year Ohio Domestic Relations Attorney  |  Law Director, Village of South Amherst</w:t>
      </w:r>
    </w:p>
    <w:p>
      <w:pPr>
        <w:spacing w:before="0" w:after="40"/>
        <w:jc w:val="center"/>
      </w:pPr>
      <w:r>
        <w:rPr>
          <w:rFonts w:ascii="Arial" w:cs="Arial" w:eastAsia="Arial" w:hAnsi="Arial"/>
          <w:color w:val="888888"/>
          <w:sz w:val="18"/>
          <w:szCs w:val="18"/>
        </w:rPr>
        <w:t xml:space="preserve">March 2026</w:t>
      </w:r>
    </w:p>
    <w:p>
      <w:pPr>
        <w:pBdr>
          <w:bottom w:val="single" w:color="1B3A6B" w:sz="8" w:space="1"/>
        </w:pBdr>
        <w:spacing w:before="120" w:after="120"/>
      </w:pP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EBF0F8" w:val="clear"/>
            <w:tcMar>
              <w:top w:type="dxa" w:w="120"/>
              <w:left w:type="dxa" w:w="180"/>
              <w:bottom w:type="dxa" w:w="120"/>
              <w:right w:type="dxa" w:w="180"/>
            </w:tcMar>
          </w:tcPr>
          <w:p>
            <w:pPr>
              <w:spacing w:before="0" w:after="60"/>
            </w:pPr>
            <w:r>
              <w:rPr>
                <w:rFonts w:ascii="Arial" w:cs="Arial" w:eastAsia="Arial" w:hAnsi="Arial"/>
                <w:b/>
                <w:bCs/>
                <w:caps/>
                <w:color w:val="1B3A6B"/>
                <w:sz w:val="20"/>
                <w:szCs w:val="20"/>
              </w:rPr>
              <w:t xml:space="preserve">★  Why This Changes Everything</w:t>
            </w:r>
          </w:p>
          <w:p>
            <w:pPr>
              <w:spacing w:before="60" w:after="60" w:line="276"/>
            </w:pPr>
            <w:r>
              <w:rPr>
                <w:rFonts w:ascii="Georgia" w:cs="Georgia" w:eastAsia="Georgia" w:hAnsi="Georgia"/>
                <w:sz w:val="22"/>
                <w:szCs w:val="22"/>
              </w:rPr>
              <w:t xml:space="preserve">The global legal technology market is racing toward </w:t>
            </w:r>
            <w:r>
              <w:rPr>
                <w:rFonts w:ascii="Georgia" w:cs="Georgia" w:eastAsia="Georgia" w:hAnsi="Georgia"/>
                <w:b/>
                <w:bCs/>
                <w:color w:val="1B3A6B"/>
                <w:sz w:val="22"/>
                <w:szCs w:val="22"/>
              </w:rPr>
              <w:t xml:space="preserve">$46.77 billion by 2030</w:t>
            </w:r>
            <w:r>
              <w:rPr>
                <w:rFonts w:ascii="Georgia" w:cs="Georgia" w:eastAsia="Georgia" w:hAnsi="Georgia"/>
                <w:sz w:val="22"/>
                <w:szCs w:val="22"/>
              </w:rPr>
              <w:t xml:space="preserve"> — yet most law firms are still treating AI as a better search engine. The next generation of legal AI won't just </w:t>
            </w:r>
            <w:r>
              <w:rPr>
                <w:rFonts w:ascii="Georgia" w:cs="Georgia" w:eastAsia="Georgia" w:hAnsi="Georgia"/>
                <w:i/>
                <w:iCs/>
                <w:sz w:val="22"/>
                <w:szCs w:val="22"/>
              </w:rPr>
              <w:t xml:space="preserve">answer</w:t>
            </w:r>
            <w:r>
              <w:rPr>
                <w:rFonts w:ascii="Georgia" w:cs="Georgia" w:eastAsia="Georgia" w:hAnsi="Georgia"/>
                <w:sz w:val="22"/>
                <w:szCs w:val="22"/>
              </w:rPr>
              <w:t xml:space="preserve"> legal questions. It will </w:t>
            </w:r>
            <w:r>
              <w:rPr>
                <w:rFonts w:ascii="Georgia" w:cs="Georgia" w:eastAsia="Georgia" w:hAnsi="Georgia"/>
                <w:i/>
                <w:iCs/>
                <w:sz w:val="22"/>
                <w:szCs w:val="22"/>
              </w:rPr>
              <w:t xml:space="preserve">reason</w:t>
            </w:r>
            <w:r>
              <w:rPr>
                <w:rFonts w:ascii="Georgia" w:cs="Georgia" w:eastAsia="Georgia" w:hAnsi="Georgia"/>
                <w:sz w:val="22"/>
                <w:szCs w:val="22"/>
              </w:rPr>
              <w:t xml:space="preserve"> across them — weighing evidence, coordinating specialists, flagging risk, and synthesizing strategy — the way a seasoned legal team does. AI adoption in law firms has </w:t>
            </w:r>
            <w:r>
              <w:rPr>
                <w:rFonts w:ascii="Georgia" w:cs="Georgia" w:eastAsia="Georgia" w:hAnsi="Georgia"/>
                <w:b/>
                <w:bCs/>
                <w:sz w:val="22"/>
                <w:szCs w:val="22"/>
              </w:rPr>
              <w:t xml:space="preserve">tripled in a single year</w:t>
            </w:r>
            <w:r>
              <w:rPr>
                <w:rFonts w:ascii="Georgia" w:cs="Georgia" w:eastAsia="Georgia" w:hAnsi="Georgia"/>
                <w:sz w:val="22"/>
                <w:szCs w:val="22"/>
              </w:rPr>
              <w:t xml:space="preserve"> (ABA Technology Survey, 2024), and Thomson Reuters estimates AI could unlock </w:t>
            </w:r>
            <w:r>
              <w:rPr>
                <w:rFonts w:ascii="Georgia" w:cs="Georgia" w:eastAsia="Georgia" w:hAnsi="Georgia"/>
                <w:b/>
                <w:bCs/>
                <w:color w:val="1B3A6B"/>
                <w:sz w:val="22"/>
                <w:szCs w:val="22"/>
              </w:rPr>
              <w:t xml:space="preserve">$20 billion annually</w:t>
            </w:r>
            <w:r>
              <w:rPr>
                <w:rFonts w:ascii="Georgia" w:cs="Georgia" w:eastAsia="Georgia" w:hAnsi="Georgia"/>
                <w:sz w:val="22"/>
                <w:szCs w:val="22"/>
              </w:rPr>
              <w:t xml:space="preserve"> for the U.S. legal profession — five hours per week per attorney. The architecture described in this article is the mechanism that makes that possible.</w:t>
            </w:r>
          </w:p>
        </w:tc>
      </w:tr>
    </w:tbl>
    <w:p>
      <w:pPr>
        <w:spacing w:before="160" w:after="0"/>
      </w:pPr>
    </w:p>
    <w:p>
      <w:pPr>
        <w:spacing w:before="320" w:after="120"/>
      </w:pPr>
      <w:r>
        <w:rPr>
          <w:rFonts w:ascii="Arial" w:cs="Arial" w:eastAsia="Arial" w:hAnsi="Arial"/>
          <w:b/>
          <w:bCs/>
          <w:color w:val="C9962B"/>
          <w:sz w:val="28"/>
          <w:szCs w:val="28"/>
        </w:rPr>
        <w:t xml:space="preserve">01  </w:t>
      </w:r>
      <w:r>
        <w:rPr>
          <w:rFonts w:ascii="Arial" w:cs="Arial" w:eastAsia="Arial" w:hAnsi="Arial"/>
          <w:b/>
          <w:bCs/>
          <w:color w:val="1B3A6B"/>
          <w:sz w:val="28"/>
          <w:szCs w:val="28"/>
        </w:rPr>
        <w:t xml:space="preserve">THE COGNITIVE SCIENCE THAT CHANGES THE GAME</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In 1989, German psychologist Dietrich Dörner published </w:t>
      </w:r>
    </w:p>
    <w:p>
      <w:pPr>
        <w:spacing w:before="80" w:after="80" w:line="276"/>
      </w:pPr>
      <w:r>
        <w:rPr>
          <w:rFonts w:ascii="Georgia" w:cs="Georgia" w:eastAsia="Georgia" w:hAnsi="Georgia"/>
          <w:sz w:val="22"/>
          <w:szCs w:val="22"/>
        </w:rPr>
        <w:t xml:space="preserve">In 1989, German psychologist Dietrich Dörner published </w:t>
      </w:r>
      <w:r>
        <w:rPr>
          <w:rFonts w:ascii="Georgia" w:cs="Georgia" w:eastAsia="Georgia" w:hAnsi="Georgia"/>
          <w:i/>
          <w:iCs/>
          <w:sz w:val="22"/>
          <w:szCs w:val="22"/>
        </w:rPr>
        <w:t xml:space="preserve">Die Logik des Mißerfolgs</w:t>
      </w:r>
      <w:r>
        <w:rPr>
          <w:rFonts w:ascii="Georgia" w:cs="Georgia" w:eastAsia="Georgia" w:hAnsi="Georgia"/>
          <w:sz w:val="22"/>
          <w:szCs w:val="22"/>
        </w:rPr>
        <w:t xml:space="preserve"> — translated into English as </w:t>
      </w:r>
      <w:r>
        <w:rPr>
          <w:rFonts w:ascii="Georgia" w:cs="Georgia" w:eastAsia="Georgia" w:hAnsi="Georgia"/>
          <w:i/>
          <w:iCs/>
          <w:sz w:val="22"/>
          <w:szCs w:val="22"/>
        </w:rPr>
        <w:t xml:space="preserve">The Logic of Failure</w:t>
      </w:r>
      <w:r>
        <w:rPr>
          <w:rFonts w:ascii="Georgia" w:cs="Georgia" w:eastAsia="Georgia" w:hAnsi="Georgia"/>
          <w:sz w:val="22"/>
          <w:szCs w:val="22"/>
        </w:rPr>
        <w:t xml:space="preserve"> — and used computer simulations to demonstrate a disturbing truth: smart, well-intentioned decision-makers in complex systems routinely destroy the very things they're trying to save. Not from incompetence, but from predictable cognitive errors: tunnel vision, premature goal fixation, failure to model side effects.</w:t>
      </w:r>
    </w:p>
    <w:p>
      <w:pPr>
        <w:spacing w:before="80" w:after="80" w:line="276"/>
      </w:pPr>
      <w:r>
        <w:rPr>
          <w:rFonts w:ascii="Georgia" w:cs="Georgia" w:eastAsia="Georgia" w:hAnsi="Georgia"/>
          <w:sz w:val="22"/>
          <w:szCs w:val="22"/>
        </w:rPr>
        <w:t xml:space="preserve">Dörner's follow-up work produced PSI theory — a computational model of how human cognition, motivation, and emotion interact to produce behavior in complex environments. In 2009, cognitive scientist Joscha Bach translated that theory into a buildable architecture in </w:t>
      </w:r>
      <w:r>
        <w:rPr>
          <w:rFonts w:ascii="Georgia" w:cs="Georgia" w:eastAsia="Georgia" w:hAnsi="Georgia"/>
          <w:i/>
          <w:iCs/>
          <w:sz w:val="22"/>
          <w:szCs w:val="22"/>
        </w:rPr>
        <w:t xml:space="preserve">Principles of Synthetic Intelligence: PSI</w:t>
      </w:r>
      <w:r>
        <w:rPr>
          <w:rFonts w:ascii="Georgia" w:cs="Georgia" w:eastAsia="Georgia" w:hAnsi="Georgia"/>
          <w:sz w:val="22"/>
          <w:szCs w:val="22"/>
        </w:rPr>
        <w:t xml:space="preserve"> (Oxford University Press). His central insight was radical for its time and remains underappreciated today: </w:t>
      </w:r>
      <w:r>
        <w:rPr>
          <w:rFonts w:ascii="Georgia" w:cs="Georgia" w:eastAsia="Georgia" w:hAnsi="Georgia"/>
          <w:b/>
          <w:bCs/>
          <w:sz w:val="22"/>
          <w:szCs w:val="22"/>
        </w:rPr>
        <w:t xml:space="preserve">motivation is not an add-on to intelligence — it IS the organizing principle of intelligence.</w:t>
      </w:r>
    </w:p>
    <w:p>
      <w:pPr>
        <w:spacing w:before="80" w:after="80" w:line="276"/>
      </w:pPr>
      <w:r>
        <w:rPr>
          <w:rFonts w:ascii="Georgia" w:cs="Georgia" w:eastAsia="Georgia" w:hAnsi="Georgia"/>
          <w:sz w:val="22"/>
          <w:szCs w:val="22"/>
        </w:rPr>
        <w:t xml:space="preserve">PSI defines three categories of drives that shape all cognitive activity:</w:t>
      </w:r>
    </w:p>
    <w:p>
      <w:pPr>
        <w:pStyle w:val="ListParagraph"/>
        <w:numPr>
          <w:ilvl w:val="0"/>
          <w:numId w:val="2"/>
        </w:numPr>
        <w:spacing w:before="60" w:after="60" w:line="264"/>
      </w:pPr>
      <w:r>
        <w:rPr>
          <w:rFonts w:ascii="Georgia" w:cs="Georgia" w:eastAsia="Georgia" w:hAnsi="Georgia"/>
          <w:b/>
          <w:bCs/>
          <w:sz w:val="22"/>
          <w:szCs w:val="22"/>
        </w:rPr>
        <w:t xml:space="preserve">Resource acquisition and self-preservation </w:t>
      </w:r>
      <w:r>
        <w:rPr>
          <w:rFonts w:ascii="Georgia" w:cs="Georgia" w:eastAsia="Georgia" w:hAnsi="Georgia"/>
          <w:sz w:val="22"/>
          <w:szCs w:val="22"/>
        </w:rPr>
        <w:t xml:space="preserve">Physiological drives</w:t>
      </w:r>
    </w:p>
    <w:p>
      <w:pPr>
        <w:pStyle w:val="ListParagraph"/>
        <w:numPr>
          <w:ilvl w:val="0"/>
          <w:numId w:val="2"/>
        </w:numPr>
        <w:spacing w:before="60" w:after="60" w:line="264"/>
      </w:pPr>
      <w:r>
        <w:rPr>
          <w:rFonts w:ascii="Georgia" w:cs="Georgia" w:eastAsia="Georgia" w:hAnsi="Georgia"/>
          <w:b/>
          <w:bCs/>
          <w:sz w:val="22"/>
          <w:szCs w:val="22"/>
        </w:rPr>
        <w:t xml:space="preserve">Affiliation needs, relationship formation, status navigation </w:t>
      </w:r>
      <w:r>
        <w:rPr>
          <w:rFonts w:ascii="Georgia" w:cs="Georgia" w:eastAsia="Georgia" w:hAnsi="Georgia"/>
          <w:sz w:val="22"/>
          <w:szCs w:val="22"/>
        </w:rPr>
        <w:t xml:space="preserve">Social drives</w:t>
      </w:r>
    </w:p>
    <w:p>
      <w:pPr>
        <w:pStyle w:val="ListParagraph"/>
        <w:numPr>
          <w:ilvl w:val="0"/>
          <w:numId w:val="2"/>
        </w:numPr>
        <w:spacing w:before="60" w:after="60" w:line="264"/>
      </w:pPr>
      <w:r>
        <w:rPr>
          <w:rFonts w:ascii="Georgia" w:cs="Georgia" w:eastAsia="Georgia" w:hAnsi="Georgia"/>
          <w:b/>
          <w:bCs/>
          <w:sz w:val="22"/>
          <w:szCs w:val="22"/>
        </w:rPr>
        <w:t xml:space="preserve">Uncertainty reduction and competence expression — the desire to understand and to act effectively </w:t>
      </w:r>
      <w:r>
        <w:rPr>
          <w:rFonts w:ascii="Georgia" w:cs="Georgia" w:eastAsia="Georgia" w:hAnsi="Georgia"/>
          <w:sz w:val="22"/>
          <w:szCs w:val="22"/>
        </w:rPr>
        <w:t xml:space="preserve">Cognitive drives</w:t>
      </w:r>
    </w:p>
    <w:p>
      <w:pPr>
        <w:spacing w:before="80" w:after="80" w:line="276"/>
      </w:pPr>
      <w:r>
        <w:rPr>
          <w:rFonts w:ascii="Georgia" w:cs="Georgia" w:eastAsia="Georgia" w:hAnsi="Georgia"/>
          <w:sz w:val="22"/>
          <w:szCs w:val="22"/>
        </w:rPr>
        <w:t xml:space="preserve">Bach's MicroPSI architecture translates these drives into a set of six modulator dimensions — Valence, Arousal, Resolution Level, Selection Threshold, Goal Dominance, and Background Checks — that tune cognitive resource allocation in real time. What emerges, the architecture argues, is not a programmed emotion, but an emergent one. As Bach wrote: "Affective states are regions in the space spanned by the cognitive modulators." Anger is high arousal, low resolution, strong goal dominance. Sadness is low arousal, high resolution, low goal-directedness.</w:t>
      </w:r>
    </w:p>
    <w:p>
      <w:pPr>
        <w:spacing w:before="80" w:after="0"/>
      </w:pP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8000"/>
      </w:tblGrid>
      <w:tr>
        <w:tc>
          <w:tcPr>
            <w:tcW w:type="dxa" w:w="8000"/>
            <w:tcBorders>
              <w:top w:val="nil" w:color="FFFFFF" w:sz="0"/>
              <w:left w:val="single" w:color="C9962B" w:sz="18"/>
              <w:bottom w:val="nil" w:color="FFFFFF" w:sz="0"/>
              <w:right w:val="nil" w:color="FFFFFF" w:sz="0"/>
            </w:tcBorders>
            <w:shd w:fill="EBF0F8" w:val="clear"/>
            <w:tcMar>
              <w:top w:type="dxa" w:w="100"/>
              <w:left w:type="dxa" w:w="240"/>
              <w:bottom w:type="dxa" w:w="100"/>
              <w:right w:type="dxa" w:w="240"/>
            </w:tcMar>
          </w:tcPr>
          <w:p>
            <w:pPr>
              <w:spacing w:before="60" w:after="60" w:line="300"/>
              <w:jc w:val="center"/>
            </w:pPr>
            <w:r>
              <w:rPr>
                <w:rFonts w:ascii="Georgia" w:cs="Georgia" w:eastAsia="Georgia" w:hAnsi="Georgia"/>
                <w:i/>
                <w:iCs/>
                <w:color w:val="1B3A6B"/>
                <w:sz w:val="26"/>
                <w:szCs w:val="26"/>
              </w:rPr>
              <w:t xml:space="preserve">“The PSI lesson for legal AI is not that our systems need to feel. It is that they need to know what they are for — and organize everything they do around that purpose.”</w:t>
            </w:r>
          </w:p>
          <w:p>
            <w:pPr>
              <w:spacing w:before="40" w:after="60"/>
              <w:jc w:val="center"/>
            </w:pPr>
            <w:r>
              <w:rPr>
                <w:rFonts w:ascii="Arial" w:cs="Arial" w:eastAsia="Arial" w:hAnsi="Arial"/>
                <w:b/>
                <w:bCs/>
                <w:color w:val="C9962B"/>
                <w:sz w:val="18"/>
                <w:szCs w:val="18"/>
              </w:rPr>
              <w:t xml:space="preserve">— Matt Mishak, LegalTek.ai</w:t>
            </w:r>
          </w:p>
        </w:tc>
      </w:tr>
    </w:tbl>
    <w:p>
      <w:pPr>
        <w:spacing w:before="120" w:after="0"/>
      </w:pPr>
    </w:p>
    <w:p>
      <w:pPr>
        <w:spacing w:before="80" w:after="80" w:line="276"/>
      </w:pPr>
      <w:r>
        <w:rPr>
          <w:rFonts w:ascii="Georgia" w:cs="Georgia" w:eastAsia="Georgia" w:hAnsi="Georgia"/>
          <w:sz w:val="22"/>
          <w:szCs w:val="22"/>
        </w:rPr>
        <w:t xml:space="preserve">For legal AI architects, the operational lesson is not about emotion at all. It is about the distinction between a system that computes on demand and a system that is organized around purpose. A PSI-based agent doesn't wait for a prompt. It has an internal model of what it needs, what it knows, what it doesn't know, and what it should attend to next. That is not a chatbot. That is a professional.</w:t>
      </w:r>
    </w:p>
    <w:p>
      <w:pPr>
        <w:spacing w:before="160" w:after="0"/>
      </w:pPr>
    </w:p>
    <w:p>
      <w:pPr>
        <w:spacing w:before="320" w:after="120"/>
      </w:pPr>
      <w:r>
        <w:rPr>
          <w:rFonts w:ascii="Arial" w:cs="Arial" w:eastAsia="Arial" w:hAnsi="Arial"/>
          <w:b/>
          <w:bCs/>
          <w:color w:val="C9962B"/>
          <w:sz w:val="28"/>
          <w:szCs w:val="28"/>
        </w:rPr>
        <w:t xml:space="preserve">02  </w:t>
      </w:r>
      <w:r>
        <w:rPr>
          <w:rFonts w:ascii="Arial" w:cs="Arial" w:eastAsia="Arial" w:hAnsi="Arial"/>
          <w:b/>
          <w:bCs/>
          <w:color w:val="1B3A6B"/>
          <w:sz w:val="28"/>
          <w:szCs w:val="28"/>
        </w:rPr>
        <w:t xml:space="preserve">WHY TODAY'S LEGAL AI FALLS SHORT — AND WHAT THE DATA SAYS</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The legal AI market is not short on ambition. Thomson Reuters' CoCounsel now serves over 20,000 law firms and is building an architecture where AI "makes dozens of independent decisions at each step" of a legal workflow. LexisNexis's Protégé deploys an explicit orchestrator/specialist agent structure. Harvey AI — valued at over $8 billion — is rolling out "agentic, multi-step reasoning AI agents for complex legal tasks" at global firms including A&amp;O Shearman.</w:t>
      </w:r>
    </w:p>
    <w:p>
      <w:pPr>
        <w:spacing w:before="80" w:after="80" w:line="276"/>
      </w:pPr>
      <w:r>
        <w:rPr>
          <w:rFonts w:ascii="Georgia" w:cs="Georgia" w:eastAsia="Georgia" w:hAnsi="Georgia"/>
          <w:sz w:val="22"/>
          <w:szCs w:val="22"/>
        </w:rPr>
        <w:t xml:space="preserve">But the category's deepest problem is not capability. It is architecture. The dominant paradigm — send a single large language model a detailed prompt and hope — produces what researchers call the Jagged Technological Frontier problem. In a landmark Harvard Business School randomized controlled experiment involving 758 BCG consultants (Dell'Acqua et al., 2023), AI-assisted workers completed 12.2% more tasks, 25.1% faster, with 40% higher quality. But for tasks outside the AI's capability boundary, those same workers were 19 percentage points less likely to produce correct solutions — because they trusted the AI when they shouldn't have.</w:t>
      </w:r>
    </w:p>
    <w:p>
      <w:pPr>
        <w:spacing w:before="80" w:after="80" w:line="276"/>
      </w:pPr>
      <w:r>
        <w:rPr>
          <w:rFonts w:ascii="Georgia" w:cs="Georgia" w:eastAsia="Georgia" w:hAnsi="Georgia"/>
          <w:sz w:val="22"/>
          <w:szCs w:val="22"/>
        </w:rPr>
        <w:t xml:space="preserve">In legal practice, that failure mode is not a minor inefficiency. It is malpractice.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62B" w:sz="6"/>
              <w:left w:val="single" w:color="C9962B" w:sz="6"/>
              <w:bottom w:val="single" w:color="C9962B" w:sz="6"/>
              <w:right w:val="single" w:color="C9962B" w:sz="6"/>
            </w:tcBorders>
            <w:shd w:fill="FDF6E3" w:val="clear"/>
            <w:tcMar>
              <w:top w:type="dxa" w:w="120"/>
              <w:left w:type="dxa" w:w="180"/>
              <w:bottom w:type="dxa" w:w="120"/>
              <w:right w:type="dxa" w:w="180"/>
            </w:tcMar>
          </w:tcPr>
          <w:p>
            <w:pPr>
              <w:spacing w:before="0" w:after="60"/>
            </w:pPr>
            <w:r>
              <w:rPr>
                <w:rFonts w:ascii="Arial" w:cs="Arial" w:eastAsia="Arial" w:hAnsi="Arial"/>
                <w:b/>
                <w:bCs/>
                <w:caps/>
                <w:color w:val="C9962B"/>
                <w:sz w:val="20"/>
                <w:szCs w:val="20"/>
              </w:rPr>
              <w:t xml:space="preserve">⚠  The Hallucination Problem in Legal AI</w:t>
            </w:r>
          </w:p>
          <w:p>
            <w:pPr>
              <w:spacing w:before="60" w:after="60" w:line="276"/>
            </w:pPr>
            <w:r>
              <w:rPr>
                <w:rFonts w:ascii="Georgia" w:cs="Georgia" w:eastAsia="Georgia" w:hAnsi="Georgia"/>
                <w:sz w:val="22"/>
                <w:szCs w:val="22"/>
              </w:rPr>
              <w:t xml:space="preserve">Stanford HAI research found that GPT-4 </w:t>
            </w:r>
            <w:r>
              <w:rPr>
                <w:rFonts w:ascii="Georgia" w:cs="Georgia" w:eastAsia="Georgia" w:hAnsi="Georgia"/>
                <w:b/>
                <w:bCs/>
                <w:sz w:val="22"/>
                <w:szCs w:val="22"/>
              </w:rPr>
              <w:t xml:space="preserve">hallucinated in at least 49% of the most basic legal case summary tasks</w:t>
            </w:r>
            <w:r>
              <w:rPr>
                <w:rFonts w:ascii="Georgia" w:cs="Georgia" w:eastAsia="Georgia" w:hAnsi="Georgia"/>
                <w:sz w:val="22"/>
                <w:szCs w:val="22"/>
              </w:rPr>
              <w:t xml:space="preserve"> — despite demonstrating strong overall legal reasoning capability. A Harvard Journal of Law &amp; Technology digest found that RAG (Retrieval Augmented Generation) architectures reduced hallucinations to levels comparable to work completed without AI assistance. But RAG alone is not enough. Legal analysis requires not just accurate retrieval — it requires </w:t>
            </w:r>
            <w:r>
              <w:rPr>
                <w:rFonts w:ascii="Georgia" w:cs="Georgia" w:eastAsia="Georgia" w:hAnsi="Georgia"/>
                <w:i/>
                <w:iCs/>
                <w:sz w:val="22"/>
                <w:szCs w:val="22"/>
              </w:rPr>
              <w:t xml:space="preserve">purposeful synthesis</w:t>
            </w:r>
            <w:r>
              <w:rPr>
                <w:rFonts w:ascii="Georgia" w:cs="Georgia" w:eastAsia="Georgia" w:hAnsi="Georgia"/>
                <w:sz w:val="22"/>
                <w:szCs w:val="22"/>
              </w:rPr>
              <w:t xml:space="preserve"> across multiple dimensions of a matter simultaneously. That requires an agent architecture, not a better search index.</w:t>
            </w:r>
          </w:p>
        </w:tc>
      </w:tr>
    </w:tbl>
    <w:p>
      <w:pPr>
        <w:spacing w:before="120" w:after="0"/>
      </w:pPr>
    </w:p>
    <w:p>
      <w:pPr>
        <w:spacing w:before="80" w:after="80" w:line="276"/>
      </w:pPr>
      <w:r>
        <w:rPr>
          <w:rFonts w:ascii="Georgia" w:cs="Georgia" w:eastAsia="Georgia" w:hAnsi="Georgia"/>
          <w:sz w:val="22"/>
          <w:szCs w:val="22"/>
        </w:rPr>
        <w:t xml:space="preserve">The fundamental problem is that a law matter is not a single question. A divorce case in Lorain County, Ohio, involves at minimum: the client's human story and emotional reality (Voice of Client); the applicable statutes under ORC Chapters 3105, 3109, 3119, and 3121 (Black Letter Law); the specific filing procedures and local rules of Lorain County Domestic Relations Court (Procedural Analysis); a detailed financial disclosure under Ohio's Uniform Domestic Relations Form — Affidavit 1 (Fiscal Analysis); and, in many cases, a structured analysis of the best-interest factors under ORC § 3109.04 (Custody Analysis). Each of these dimensions requires different expertise, different data, different evidentiary standards, and — critically — different weights depending on the specific facts of the matter.</w:t>
      </w:r>
    </w:p>
    <w:p>
      <w:pPr>
        <w:spacing w:before="80" w:after="80" w:line="276"/>
      </w:pPr>
      <w:r>
        <w:rPr>
          <w:rFonts w:ascii="Georgia" w:cs="Georgia" w:eastAsia="Georgia" w:hAnsi="Georgia"/>
          <w:sz w:val="22"/>
          <w:szCs w:val="22"/>
        </w:rPr>
        <w:t xml:space="preserve">A single-agent system cannot carry all of that simultaneously without becoming incoherent. A multi-agent system organized without principled coordination produces outputs that are locally accurate and globally contradictory. The PSI architecture offers a third path: purposefully differentiated agents, operating from a shared ontological fact model, coordinated by an orchestrator that governs their interaction and weights their outputs according to the strategic profile of the specific matter.</w:t>
      </w:r>
    </w:p>
    <w:p>
      <w:pPr>
        <w:spacing w:before="160" w:after="0"/>
      </w:pPr>
    </w:p>
    <w:p>
      <w:pPr>
        <w:spacing w:before="320" w:after="120"/>
      </w:pPr>
      <w:r>
        <w:rPr>
          <w:rFonts w:ascii="Arial" w:cs="Arial" w:eastAsia="Arial" w:hAnsi="Arial"/>
          <w:b/>
          <w:bCs/>
          <w:color w:val="C9962B"/>
          <w:sz w:val="28"/>
          <w:szCs w:val="28"/>
        </w:rPr>
        <w:t xml:space="preserve">03  </w:t>
      </w:r>
      <w:r>
        <w:rPr>
          <w:rFonts w:ascii="Arial" w:cs="Arial" w:eastAsia="Arial" w:hAnsi="Arial"/>
          <w:b/>
          <w:bCs/>
          <w:color w:val="1B3A6B"/>
          <w:sz w:val="28"/>
          <w:szCs w:val="28"/>
        </w:rPr>
        <w:t xml:space="preserve">THE ARCHITECTURE: BASE AGENT → DIFFERENTIATED SPECIALISTS → ORCHESTRATOR</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The SilverTung multi-agent architecture rests on three structural principles, each traceable directly to PSI theory:</w:t>
      </w:r>
    </w:p>
    <w:p>
      <w:pPr>
        <w:spacing w:before="200" w:after="80"/>
      </w:pPr>
      <w:r>
        <w:rPr>
          <w:rFonts w:ascii="Arial" w:cs="Arial" w:eastAsia="Arial" w:hAnsi="Arial"/>
          <w:b/>
          <w:bCs/>
          <w:color w:val="1B3A6B"/>
          <w:sz w:val="24"/>
          <w:szCs w:val="24"/>
        </w:rPr>
        <w:t xml:space="preserve">Principle 1: The Base Agent as Substrate, Not Ceiling</w:t>
      </w:r>
    </w:p>
    <w:p>
      <w:pPr>
        <w:spacing w:before="80" w:after="80" w:line="276"/>
      </w:pPr>
      <w:r>
        <w:rPr>
          <w:rFonts w:ascii="Georgia" w:cs="Georgia" w:eastAsia="Georgia" w:hAnsi="Georgia"/>
          <w:sz w:val="22"/>
          <w:szCs w:val="22"/>
        </w:rPr>
        <w:t xml:space="preserve">Modern large language models are impressive because they are general. But generality without structure is not intelligence — it is expensive ambiguity. The base agent in the SilverTung system is a shared substrate: a legal-domain-trained model with deep familiarity with Ohio domestic relations law, procedural rules, financial disclosure requirements, and relevant case law. It is not deployed directly. It is differentiated.</w:t>
      </w:r>
    </w:p>
    <w:p>
      <w:pPr>
        <w:spacing w:before="80" w:after="80" w:line="276"/>
      </w:pPr>
      <w:r>
        <w:rPr>
          <w:rFonts w:ascii="Georgia" w:cs="Georgia" w:eastAsia="Georgia" w:hAnsi="Georgia"/>
          <w:sz w:val="22"/>
          <w:szCs w:val="22"/>
        </w:rPr>
        <w:t xml:space="preserve">In PSI terms, the base model is the cognitive system — the raw capacity for language, reasoning, and legal knowledge. Differentiation is the assignment of a drive set: a role-specific configuration of priors, output constraints, evaluation criteria, and persona calibration that turns the substrate into a purposeful agent. The Black Letter Law agent and the Voice of Client agent run on the same base. They are not the same agent.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A6B" w:sz="4"/>
              <w:left w:val="single" w:color="1B3A6B" w:sz="4"/>
              <w:bottom w:val="single" w:color="1B3A6B" w:sz="4"/>
              <w:right w:val="single" w:color="1B3A6B" w:sz="4"/>
            </w:tcBorders>
            <w:shd w:fill="C9962B"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 LICENSED ATTORNEY</w:t>
            </w:r>
          </w:p>
          <w:p>
            <w:pPr>
              <w:jc w:val="center"/>
            </w:pPr>
            <w:r>
              <w:rPr>
                <w:rFonts w:ascii="Georgia" w:cs="Georgia" w:eastAsia="Georgia" w:hAnsi="Georgia"/>
                <w:i/>
                <w:iCs/>
                <w:color w:val="666666"/>
                <w:sz w:val="16"/>
                <w:szCs w:val="16"/>
              </w:rPr>
              <w:t xml:space="preserve">Final Review · Professional Responsibility · Client Advisory</w:t>
            </w:r>
          </w:p>
        </w:tc>
      </w:tr>
      <w:tr>
        <w:tc>
          <w:tcPr>
            <w:tcBorders>
              <w:top w:val="nil" w:color="FFFFFF" w:sz="0"/>
              <w:left w:val="nil" w:color="FFFFFF" w:sz="0"/>
              <w:bottom w:val="nil" w:color="FFFFFF" w:sz="0"/>
              <w:right w:val="nil" w:color="FFFFFF" w:sz="0"/>
            </w:tcBorders>
          </w:tcPr>
          <w:p>
            <w:pPr>
              <w:spacing w:before="0" w:after="0"/>
              <w:jc w:val="center"/>
            </w:pPr>
            <w:r>
              <w:rPr>
                <w:rFonts w:ascii="Arial" w:cs="Arial" w:eastAsia="Arial" w:hAnsi="Arial"/>
                <w:b/>
                <w:bCs/>
                <w:color w:val="C9962B"/>
                <w:sz w:val="24"/>
                <w:szCs w:val="24"/>
              </w:rPr>
              <w:t xml:space="preserve">↕</w:t>
            </w:r>
          </w:p>
        </w:tc>
      </w:tr>
      <w:tr>
        <w:tc>
          <w:tcPr>
            <w:tcBorders>
              <w:top w:val="single" w:color="1B3A6B" w:sz="4"/>
              <w:left w:val="single" w:color="1B3A6B" w:sz="4"/>
              <w:bottom w:val="single" w:color="1B3A6B" w:sz="4"/>
              <w:right w:val="single" w:color="1B3A6B" w:sz="4"/>
            </w:tcBorders>
            <w:shd w:fill="1B3A6B"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 ORCHESTRATOR AGENT</w:t>
            </w:r>
          </w:p>
          <w:p>
            <w:pPr>
              <w:jc w:val="center"/>
            </w:pPr>
            <w:r>
              <w:rPr>
                <w:rFonts w:ascii="Georgia" w:cs="Georgia" w:eastAsia="Georgia" w:hAnsi="Georgia"/>
                <w:i/>
                <w:iCs/>
                <w:color w:val="666666"/>
                <w:sz w:val="16"/>
                <w:szCs w:val="16"/>
              </w:rPr>
              <w:t xml:space="preserve">Governs · Weights · Synthesizes · Routes for Attorney Review</w:t>
            </w:r>
          </w:p>
        </w:tc>
      </w:tr>
      <w:tr>
        <w:tc>
          <w:tcPr>
            <w:tcBorders>
              <w:top w:val="nil" w:color="FFFFFF" w:sz="0"/>
              <w:left w:val="nil" w:color="FFFFFF" w:sz="0"/>
              <w:bottom w:val="nil" w:color="FFFFFF" w:sz="0"/>
              <w:right w:val="nil" w:color="FFFFFF" w:sz="0"/>
            </w:tcBorders>
          </w:tcPr>
          <w:p>
            <w:pPr>
              <w:spacing w:before="0" w:after="0"/>
              <w:jc w:val="center"/>
            </w:pPr>
            <w:r>
              <w:rPr>
                <w:rFonts w:ascii="Arial" w:cs="Arial" w:eastAsia="Arial" w:hAnsi="Arial"/>
                <w:b/>
                <w:bCs/>
                <w:color w:val="C9962B"/>
                <w:sz w:val="24"/>
                <w:szCs w:val="24"/>
              </w:rPr>
              <w:t xml:space="preserve">↕</w:t>
            </w:r>
          </w:p>
        </w:tc>
      </w:tr>
      <w:tr>
        <w:tc>
          <w:tcPr>
            <w:tcBorders>
              <w:top w:val="single" w:color="1B3A6B" w:sz="4"/>
              <w:left w:val="single" w:color="1B3A6B" w:sz="4"/>
              <w:bottom w:val="single" w:color="1B3A6B" w:sz="4"/>
              <w:right w:val="single" w:color="1B3A6B" w:sz="4"/>
            </w:tcBorders>
            <w:shd w:fill="D0D8EA" w:val="clear"/>
            <w:tcMar>
              <w:top w:type="dxa" w:w="80"/>
              <w:left w:type="dxa" w:w="80"/>
              <w:bottom w:type="dxa" w:w="80"/>
              <w:right w:type="dxa" w:w="80"/>
            </w:tcMar>
            <w:vAlign w:val="center"/>
          </w:tcPr>
          <w:p>
            <w:pPr>
              <w:jc w:val="center"/>
            </w:pPr>
            <w:r>
              <w:rPr>
                <w:rFonts w:ascii="Arial" w:cs="Arial" w:eastAsia="Arial" w:hAnsi="Arial"/>
                <w:b/>
                <w:bCs/>
                <w:color w:val="1B3A6B"/>
                <w:sz w:val="18"/>
                <w:szCs w:val="18"/>
              </w:rPr>
              <w:t xml:space="preserve">🗃 ONTOLOGY LAYER</w:t>
            </w:r>
          </w:p>
          <w:p>
            <w:pPr>
              <w:jc w:val="center"/>
            </w:pPr>
            <w:r>
              <w:rPr>
                <w:rFonts w:ascii="Georgia" w:cs="Georgia" w:eastAsia="Georgia" w:hAnsi="Georgia"/>
                <w:i/>
                <w:iCs/>
                <w:color w:val="666666"/>
                <w:sz w:val="16"/>
                <w:szCs w:val="16"/>
              </w:rPr>
              <w:t xml:space="preserve">Legal Fact Model · Typed Entities · Shared Schema · Audit Trail</w:t>
            </w:r>
          </w:p>
        </w:tc>
      </w:tr>
      <w:tr>
        <w:tc>
          <w:tcPr>
            <w:tcBorders>
              <w:top w:val="nil" w:color="FFFFFF" w:sz="0"/>
              <w:left w:val="nil" w:color="FFFFFF" w:sz="0"/>
              <w:bottom w:val="nil" w:color="FFFFFF" w:sz="0"/>
              <w:right w:val="nil" w:color="FFFFFF" w:sz="0"/>
            </w:tcBorders>
          </w:tcPr>
          <w:p>
            <w:pPr>
              <w:spacing w:before="0" w:after="0"/>
              <w:jc w:val="center"/>
            </w:pPr>
            <w:r>
              <w:rPr>
                <w:rFonts w:ascii="Arial" w:cs="Arial" w:eastAsia="Arial" w:hAnsi="Arial"/>
                <w:b/>
                <w:bCs/>
                <w:color w:val="C9962B"/>
                <w:sz w:val="24"/>
                <w:szCs w:val="24"/>
              </w:rPr>
              <w:t xml:space="preserve">↕</w:t>
            </w:r>
          </w:p>
        </w:tc>
      </w:tr>
    </w:tbl>
    <w:p>
      <w:pPr>
        <w:spacing w:before="40" w:after="0"/>
      </w:pPr>
    </w:p>
    <w:p>
      <w:pPr>
        <w:spacing w:before="40" w:after="120"/>
        <w:jc w:val="center"/>
      </w:pPr>
      <w:r>
        <w:rPr>
          <w:rFonts w:ascii="Arial" w:cs="Arial" w:eastAsia="Arial" w:hAnsi="Arial"/>
          <w:i/>
          <w:iCs/>
          <w:color w:val="888888"/>
          <w:sz w:val="18"/>
          <w:szCs w:val="18"/>
        </w:rPr>
        <w:t xml:space="preserve">Figure 1: SilverTung Multi-Agent Architecture Stack</w:t>
      </w:r>
    </w:p>
    <w:p>
      <w:pPr>
        <w:spacing w:before="200" w:after="80"/>
      </w:pPr>
      <w:r>
        <w:rPr>
          <w:rFonts w:ascii="Arial" w:cs="Arial" w:eastAsia="Arial" w:hAnsi="Arial"/>
          <w:b/>
          <w:bCs/>
          <w:color w:val="1B3A6B"/>
          <w:sz w:val="24"/>
          <w:szCs w:val="24"/>
        </w:rPr>
        <w:t xml:space="preserve">Principle 2: The Orchestrator as Supervising Counsel</w:t>
      </w:r>
    </w:p>
    <w:p>
      <w:pPr>
        <w:spacing w:before="80" w:after="80" w:line="276"/>
      </w:pPr>
      <w:r>
        <w:rPr>
          <w:rFonts w:ascii="Georgia" w:cs="Georgia" w:eastAsia="Georgia" w:hAnsi="Georgia"/>
          <w:sz w:val="22"/>
          <w:szCs w:val="22"/>
        </w:rPr>
        <w:t xml:space="preserve">The orchestrator agent is the system's most important component — and its most important governance mechanism. Its function mirrors that of supervising counsel under Ohio Rules of Professional Conduct Rule 5.1: it does not perform substantive analysis itself. It activates the appropriate specialist agents, assigns matter-specific weights to their outputs, resolves conflicts between agent findings, and routes outputs for attorney review when they approach the boundaries of what requires a licensed professional's personal judgment.</w:t>
      </w:r>
    </w:p>
    <w:p>
      <w:pPr>
        <w:spacing w:before="80" w:after="80" w:line="276"/>
      </w:pPr>
      <w:r>
        <w:rPr>
          <w:rFonts w:ascii="Georgia" w:cs="Georgia" w:eastAsia="Georgia" w:hAnsi="Georgia"/>
          <w:sz w:val="22"/>
          <w:szCs w:val="22"/>
        </w:rPr>
        <w:t xml:space="preserve">ABA Formal Opinion 512 (July 2024) — the bar's first formal ethics opinion on generative AI — is explicit: AI tools should be treated like nonlawyer assistants under Rule 5.3. "Lawyers who rely on generative AI for research, drafting, communication, and client intake risk many of the same perils as those who have relied on inexperienced or overconfident nonlawyer assistants." The orchestrator is the architectural embodiment of Rule 5.3 compliance: a documented supervisory layer between AI output and attorney-signed work product.</w:t>
      </w:r>
    </w:p>
    <w:p>
      <w:pPr>
        <w:spacing w:before="80" w:after="80" w:line="276"/>
      </w:pPr>
      <w:r>
        <w:rPr>
          <w:rFonts w:ascii="Georgia" w:cs="Georgia" w:eastAsia="Georgia" w:hAnsi="Georgia"/>
          <w:sz w:val="22"/>
          <w:szCs w:val="22"/>
        </w:rPr>
        <w:t xml:space="preserve">Critically, the orchestrator must be capable of dynamic reweighting — the PSI analog of stress-responsive resource reallocation. A dissolution case that appears straightforward at intake may reveal, through the Fiscal Analysis agent, a complex business valuation issue that immediately elevates that agent's output weight. A custody matter may surface a domestic violence history through the Voice of Client agent that triggers Rule 75(N) temporary order procedures and shifts the entire matter's strategic posture. The orchestrator's intelligence lies in recognizing these inflection points.</w:t>
      </w:r>
    </w:p>
    <w:p>
      <w:pPr>
        <w:spacing w:before="200" w:after="80"/>
      </w:pPr>
      <w:r>
        <w:rPr>
          <w:rFonts w:ascii="Arial" w:cs="Arial" w:eastAsia="Arial" w:hAnsi="Arial"/>
          <w:b/>
          <w:bCs/>
          <w:color w:val="1B3A6B"/>
          <w:sz w:val="24"/>
          <w:szCs w:val="24"/>
        </w:rPr>
        <w:t xml:space="preserve">Principle 3: The Ontology Layer as Shared World Model</w:t>
      </w:r>
    </w:p>
    <w:p>
      <w:pPr>
        <w:spacing w:before="80" w:after="80" w:line="276"/>
      </w:pPr>
      <w:r>
        <w:rPr>
          <w:rFonts w:ascii="Georgia" w:cs="Georgia" w:eastAsia="Georgia" w:hAnsi="Georgia"/>
          <w:sz w:val="22"/>
          <w:szCs w:val="22"/>
        </w:rPr>
        <w:t xml:space="preserve">PSI agents do not operate on raw text. They operate on a structured internal model of the world — the "situation image" that encodes what is known, what is uncertain, and what is relevant. For a legal process agent system, that world model is the ontology layer: a structured representation of legal entities (party, asset, obligation, claim, standard, remedy, deadline) against which every agent's analysis is grounded.</w:t>
      </w:r>
    </w:p>
    <w:p>
      <w:pPr>
        <w:spacing w:before="80" w:after="80" w:line="276"/>
      </w:pPr>
      <w:r>
        <w:rPr>
          <w:rFonts w:ascii="Georgia" w:cs="Georgia" w:eastAsia="Georgia" w:hAnsi="Georgia"/>
          <w:sz w:val="22"/>
          <w:szCs w:val="22"/>
        </w:rPr>
        <w:t xml:space="preserve">The LKIF Core ontology — Legal Knowledge Interchange Format, developed by a European consortium — provides the foundational vocabulary. SilverTung's Ohio-specific implementation extends this with domestic relations-specific entity types: marital property vs. separate property designations, spousal support factor weightings under ORC § 3105.18's 14-factor test, the child support calculation inputs required by Ohio's statutory guidelines, and the best-interest factors enumerated under ORC § 3109.04.</w:t>
      </w:r>
    </w:p>
    <w:p>
      <w:pPr>
        <w:spacing w:before="80" w:after="80" w:line="276"/>
      </w:pPr>
      <w:r>
        <w:rPr>
          <w:rFonts w:ascii="Georgia" w:cs="Georgia" w:eastAsia="Georgia" w:hAnsi="Georgia"/>
          <w:sz w:val="22"/>
          <w:szCs w:val="22"/>
        </w:rPr>
        <w:t xml:space="preserve">An ontology-first architecture embodies data-first, AI-first principles in their most rigorous form: before any agent generates output, the underlying facts are structured, typed, and validated against the ontological schema. This makes the system auditable — every weighting decision is traceable to specific ontological features of the matter, not to opaque probabilistic inference. That traceability is not a technical nicety. It is the foundation of the attorney-review workflow required by professional responsibility rules.</w:t>
      </w:r>
    </w:p>
    <w:p>
      <w:pPr>
        <w:spacing w:before="160" w:after="0"/>
      </w:pPr>
    </w:p>
    <w:p>
      <w:pPr>
        <w:spacing w:before="320" w:after="120"/>
      </w:pPr>
      <w:r>
        <w:rPr>
          <w:rFonts w:ascii="Arial" w:cs="Arial" w:eastAsia="Arial" w:hAnsi="Arial"/>
          <w:b/>
          <w:bCs/>
          <w:color w:val="C9962B"/>
          <w:sz w:val="28"/>
          <w:szCs w:val="28"/>
        </w:rPr>
        <w:t xml:space="preserve">04  </w:t>
      </w:r>
      <w:r>
        <w:rPr>
          <w:rFonts w:ascii="Arial" w:cs="Arial" w:eastAsia="Arial" w:hAnsi="Arial"/>
          <w:b/>
          <w:bCs/>
          <w:color w:val="1B3A6B"/>
          <w:sz w:val="28"/>
          <w:szCs w:val="28"/>
        </w:rPr>
        <w:t xml:space="preserve">THE FIVE AGENTS: DRIVE SETS ENCODED AS PROFESSIONAL EXPERTISE</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Each specialist agent in the SilverTung system carries what PSI theory calls a drive configuration — a purposeful orientation that shapes how it attends to information, what it prioritizes in output, and how it handles uncertainty. The following table maps each agent to its PSI analog, its calibrating human persona, and its primary output: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rPr>
          <w:tblHeader/>
        </w:trPr>
        <w:tc>
          <w:tcPr>
            <w:tcW w:type="dxa" w:w="220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AGENT</w:t>
            </w:r>
          </w:p>
        </w:tc>
        <w:tc>
          <w:tcPr>
            <w:tcW w:type="dxa" w:w="220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PSI DRIVE ANALOG</w:t>
            </w:r>
          </w:p>
        </w:tc>
        <w:tc>
          <w:tcPr>
            <w:tcW w:type="dxa" w:w="220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CALIBRATING PERSONA</w:t>
            </w:r>
          </w:p>
        </w:tc>
        <w:tc>
          <w:tcPr>
            <w:tcW w:type="dxa" w:w="276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PRIMARY OUTPUT</w:t>
            </w:r>
          </w:p>
        </w:tc>
      </w:tr>
      <w:tr>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Voice of Client</w:t>
            </w:r>
          </w:p>
        </w:tc>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Social affiliation + uncertainty reduction</w:t>
            </w:r>
          </w:p>
        </w:tc>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Intake specialist / senior paralegal</w:t>
            </w:r>
          </w:p>
        </w:tc>
        <w:tc>
          <w:tcPr>
            <w:tcW w:type="dxa" w:w="276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Narrative → legal claims map</w:t>
            </w:r>
          </w:p>
        </w:tc>
      </w:tr>
      <w:tr>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Black Letter Law</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Competence expression + certainty</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Appellate domestic relations attorney</w:t>
            </w:r>
          </w:p>
        </w:tc>
        <w:tc>
          <w:tcPr>
            <w:tcW w:type="dxa" w:w="276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Statute / case law application layer</w:t>
            </w:r>
          </w:p>
        </w:tc>
      </w:tr>
      <w:tr>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Procedural Analysis</w:t>
            </w:r>
          </w:p>
        </w:tc>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Goal-directed path-finding</w:t>
            </w:r>
          </w:p>
        </w:tc>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DR court paralegal / clerk</w:t>
            </w:r>
          </w:p>
        </w:tc>
        <w:tc>
          <w:tcPr>
            <w:tcW w:type="dxa" w:w="276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Filing sequence + deadline risk map</w:t>
            </w:r>
          </w:p>
        </w:tc>
      </w:tr>
      <w:tr>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Fiscal Analysis</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Resource acquisition + verification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CDFA / forensic accountant</w:t>
            </w:r>
          </w:p>
        </w:tc>
        <w:tc>
          <w:tcPr>
            <w:tcW w:type="dxa" w:w="276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Financial disclosure, support worksheets</w:t>
            </w:r>
          </w:p>
        </w:tc>
      </w:tr>
      <w:tr>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Custody Psych Analysis</w:t>
            </w:r>
          </w:p>
        </w:tc>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Uncertainty reduction + safety</w:t>
            </w:r>
          </w:p>
        </w:tc>
        <w:tc>
          <w:tcPr>
            <w:tcW w:type="dxa" w:w="22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DR attorney + custody evaluator liaison</w:t>
            </w:r>
          </w:p>
        </w:tc>
        <w:tc>
          <w:tcPr>
            <w:tcW w:type="dxa" w:w="276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Best-interest framework + evidentiary prep</w:t>
            </w:r>
          </w:p>
        </w:tc>
      </w:tr>
    </w:tbl>
    <w:p>
      <w:pPr>
        <w:spacing w:before="40" w:after="0"/>
      </w:pPr>
    </w:p>
    <w:p>
      <w:pPr>
        <w:spacing w:before="40" w:after="120"/>
        <w:jc w:val="center"/>
      </w:pPr>
      <w:r>
        <w:rPr>
          <w:rFonts w:ascii="Arial" w:cs="Arial" w:eastAsia="Arial" w:hAnsi="Arial"/>
          <w:i/>
          <w:iCs/>
          <w:color w:val="888888"/>
          <w:sz w:val="18"/>
          <w:szCs w:val="18"/>
        </w:rPr>
        <w:t xml:space="preserve">Table 1: SilverTung Specialist Agent Configuration Map</w:t>
      </w:r>
    </w:p>
    <w:p>
      <w:pPr>
        <w:spacing w:before="200" w:after="80"/>
      </w:pPr>
      <w:r>
        <w:rPr>
          <w:rFonts w:ascii="Arial" w:cs="Arial" w:eastAsia="Arial" w:hAnsi="Arial"/>
          <w:b/>
          <w:bCs/>
          <w:color w:val="1B3A6B"/>
          <w:sz w:val="24"/>
          <w:szCs w:val="24"/>
        </w:rPr>
        <w:t xml:space="preserve">Voice of Client Agent</w:t>
      </w:r>
    </w:p>
    <w:p>
      <w:pPr>
        <w:spacing w:before="80" w:after="80" w:line="276"/>
      </w:pPr>
      <w:r>
        <w:rPr>
          <w:rFonts w:ascii="Georgia" w:cs="Georgia" w:eastAsia="Georgia" w:hAnsi="Georgia"/>
          <w:sz w:val="22"/>
          <w:szCs w:val="22"/>
        </w:rPr>
        <w:t xml:space="preserve">The Voice of Client agent carries the system's strongest social-affiliation and uncertainty-reduction drives. Its function is not transcription. It is translation: converting a client's emotionally charged, legally naive description of their situation into a structured set of legally cognizable claims, mapped against the ontological schema and flagged for inconsistencies between narrative and documentary evidence.</w:t>
      </w:r>
    </w:p>
    <w:p>
      <w:pPr>
        <w:spacing w:before="80" w:after="80" w:line="276"/>
      </w:pPr>
      <w:r>
        <w:rPr>
          <w:rFonts w:ascii="Georgia" w:cs="Georgia" w:eastAsia="Georgia" w:hAnsi="Georgia"/>
          <w:sz w:val="22"/>
          <w:szCs w:val="22"/>
        </w:rPr>
        <w:t xml:space="preserve">This agent is calibrated against the persona of an experienced domestic relations intake specialist — someone who has heard hundreds of client narratives and developed the pattern-recognition to distinguish the legally significant from the emotionally salient, and to hold both simultaneously without collapsing one into the other. Its output feeds every other agent in the system.</w:t>
      </w:r>
    </w:p>
    <w:p>
      <w:pPr>
        <w:spacing w:before="200" w:after="80"/>
      </w:pPr>
      <w:r>
        <w:rPr>
          <w:rFonts w:ascii="Arial" w:cs="Arial" w:eastAsia="Arial" w:hAnsi="Arial"/>
          <w:b/>
          <w:bCs/>
          <w:color w:val="1B3A6B"/>
          <w:sz w:val="24"/>
          <w:szCs w:val="24"/>
        </w:rPr>
        <w:t xml:space="preserve">Black Letter Law Agent</w:t>
      </w:r>
    </w:p>
    <w:p>
      <w:pPr>
        <w:spacing w:before="80" w:after="80" w:line="276"/>
      </w:pPr>
      <w:r>
        <w:rPr>
          <w:rFonts w:ascii="Georgia" w:cs="Georgia" w:eastAsia="Georgia" w:hAnsi="Georgia"/>
          <w:sz w:val="22"/>
          <w:szCs w:val="22"/>
        </w:rPr>
        <w:t xml:space="preserve">This agent carries the competence-expression drive in its most rigorous form. Its function is doctrinal anchoring: identifying the applicable statutes, applying controlling Ohio appellate case law, and flagging any gap between client expectations and what the law actually permits. It must be fluent in ORC Chapters 3105, 3109, 3119, and 3121, in Ohio Civil Rule 75(N), and in the Lorain County Domestic Relations Court's local rules — where court-specific practices meaningfully diverge from statewide defaults.</w:t>
      </w:r>
    </w:p>
    <w:p>
      <w:pPr>
        <w:spacing w:before="80" w:after="80" w:line="276"/>
      </w:pPr>
      <w:r>
        <w:rPr>
          <w:rFonts w:ascii="Georgia" w:cs="Georgia" w:eastAsia="Georgia" w:hAnsi="Georgia"/>
          <w:sz w:val="22"/>
          <w:szCs w:val="22"/>
        </w:rPr>
        <w:t xml:space="preserve">The calibrating persona is a seasoned domestic relations attorney with appellate experience — someone whose professional identity is built around statutory precision and whose instinct is to read the text before the commentary.</w:t>
      </w:r>
    </w:p>
    <w:p>
      <w:pPr>
        <w:spacing w:before="200" w:after="80"/>
      </w:pPr>
      <w:r>
        <w:rPr>
          <w:rFonts w:ascii="Arial" w:cs="Arial" w:eastAsia="Arial" w:hAnsi="Arial"/>
          <w:b/>
          <w:bCs/>
          <w:color w:val="1B3A6B"/>
          <w:sz w:val="24"/>
          <w:szCs w:val="24"/>
        </w:rPr>
        <w:t xml:space="preserve">Procedural Analysis Agent</w:t>
      </w:r>
    </w:p>
    <w:p>
      <w:pPr>
        <w:spacing w:before="80" w:after="80" w:line="276"/>
      </w:pPr>
      <w:r>
        <w:rPr>
          <w:rFonts w:ascii="Georgia" w:cs="Georgia" w:eastAsia="Georgia" w:hAnsi="Georgia"/>
          <w:sz w:val="22"/>
          <w:szCs w:val="22"/>
        </w:rPr>
        <w:t xml:space="preserve">The Procedural Analysis agent asks not "what does the law say?" but "how do we get there from here?" Its drive set is oriented toward goal-directed path-finding: identifying filing sequences, flagging deadline risks, and modeling the specific procedural terrain of the court where the matter will be heard. In the SilverTung context, this agent is particularly critical for Rule 75(N) temporary orders work, where the window between filing and hearing is tight, evidentiary standards are specific, and the procedural record established at the temporary order stage often determines the outcome at final hearing.</w:t>
      </w:r>
    </w:p>
    <w:p>
      <w:pPr>
        <w:spacing w:before="80" w:after="80" w:line="276"/>
      </w:pPr>
      <w:r>
        <w:rPr>
          <w:rFonts w:ascii="Georgia" w:cs="Georgia" w:eastAsia="Georgia" w:hAnsi="Georgia"/>
          <w:sz w:val="22"/>
          <w:szCs w:val="22"/>
        </w:rPr>
        <w:t xml:space="preserve">The calibrating persona is an experienced Lorain County domestic relations paralegal — someone with deep institutional knowledge of how that specific court actually operates.</w:t>
      </w:r>
    </w:p>
    <w:p>
      <w:pPr>
        <w:spacing w:before="200" w:after="80"/>
      </w:pPr>
      <w:r>
        <w:rPr>
          <w:rFonts w:ascii="Arial" w:cs="Arial" w:eastAsia="Arial" w:hAnsi="Arial"/>
          <w:b/>
          <w:bCs/>
          <w:color w:val="1B3A6B"/>
          <w:sz w:val="24"/>
          <w:szCs w:val="24"/>
        </w:rPr>
        <w:t xml:space="preserve">Fiscal Analysis Agent</w:t>
      </w:r>
    </w:p>
    <w:p>
      <w:pPr>
        <w:spacing w:before="80" w:after="80" w:line="276"/>
      </w:pPr>
      <w:r>
        <w:rPr>
          <w:rFonts w:ascii="Georgia" w:cs="Georgia" w:eastAsia="Georgia" w:hAnsi="Georgia"/>
          <w:sz w:val="22"/>
          <w:szCs w:val="22"/>
        </w:rPr>
        <w:t xml:space="preserve">The Fiscal Analysis agent carries the most analytically demanding drive configuration in the system. It must simultaneously model income from all sources (including imputed income and self-employment income under ORC § 3119.01's broad "gross income" definition), marital and separate property, the 14-factor spousal support analysis under ORC § 3105.18 (where there is no formula — it is entirely judicial discretion), and Ohio's statutory child support guidelines.</w:t>
      </w:r>
    </w:p>
    <w:p>
      <w:pPr>
        <w:spacing w:before="80" w:after="80" w:line="276"/>
      </w:pPr>
      <w:r>
        <w:rPr>
          <w:rFonts w:ascii="Georgia" w:cs="Georgia" w:eastAsia="Georgia" w:hAnsi="Georgia"/>
          <w:sz w:val="22"/>
          <w:szCs w:val="22"/>
        </w:rPr>
        <w:t xml:space="preserve">This is where SilverTung's Plaid financial data integration creates a structural competitive advantage. By ingesting verified financial institution data directly into the Affidavit 1 workflow — connecting to over 12,000 financial institutions with two years of transaction history — the Fiscal Analysis agent operates from document-verified facts rather than client representation alone. The CFPB's Section 1033 rule, finalized in October 2024, establishes consumers' right to share that financial data with authorized parties, creating a regulatory foundation for this integration. The calibrating persona is a Certified Divorce Financial Analyst (CDFA) — a credential held by over 5,000 professionals in the U.S. — or a forensic accountant with domestic relations experience.</w:t>
      </w:r>
    </w:p>
    <w:p>
      <w:pPr>
        <w:spacing w:before="200" w:after="80"/>
      </w:pPr>
      <w:r>
        <w:rPr>
          <w:rFonts w:ascii="Arial" w:cs="Arial" w:eastAsia="Arial" w:hAnsi="Arial"/>
          <w:b/>
          <w:bCs/>
          <w:color w:val="1B3A6B"/>
          <w:sz w:val="24"/>
          <w:szCs w:val="24"/>
        </w:rPr>
        <w:t xml:space="preserve">Custody Psychologist Analysis Agent</w:t>
      </w:r>
    </w:p>
    <w:p>
      <w:pPr>
        <w:spacing w:before="80" w:after="80" w:line="276"/>
      </w:pPr>
      <w:r>
        <w:rPr>
          <w:rFonts w:ascii="Georgia" w:cs="Georgia" w:eastAsia="Georgia" w:hAnsi="Georgia"/>
          <w:sz w:val="22"/>
          <w:szCs w:val="22"/>
        </w:rPr>
        <w:t xml:space="preserve">This is the most carefully bounded agent in the system, by design. It does not render psychological diagnoses. It does not substitute for a court-appointed evaluator. Its function is framework preparation: modeling the best-interest factors under ORC § 3109.04, flagging behavioral patterns in the client narrative that may be legally significant, and preparing the evidentiary architecture for expert testimony.</w:t>
      </w:r>
    </w:p>
    <w:p>
      <w:pPr>
        <w:spacing w:before="80" w:after="80" w:line="276"/>
      </w:pPr>
      <w:r>
        <w:rPr>
          <w:rFonts w:ascii="Georgia" w:cs="Georgia" w:eastAsia="Georgia" w:hAnsi="Georgia"/>
          <w:sz w:val="22"/>
          <w:szCs w:val="22"/>
        </w:rPr>
        <w:t xml:space="preserve">The agent carries strong epistemic humility constraints as part of its weight configuration. Its outputs are always framed as analytical frameworks and evidentiary preparation tools — never clinical conclusions. The orchestrator is configured to enforce that boundary, routing any output that approaches clinical territory to the supervising attorney before it reaches any client-facing interface. The calibrating persona is a domestic relations attorney with extensive custody evaluator experience — someone who understands both the evidentiary value and the adversarial risks of psychological framing in custody litigation.</w:t>
      </w:r>
    </w:p>
    <w:p>
      <w:pPr>
        <w:spacing w:before="160" w:after="0"/>
      </w:pPr>
    </w:p>
    <w:p>
      <w:pPr>
        <w:spacing w:before="320" w:after="120"/>
      </w:pPr>
      <w:r>
        <w:rPr>
          <w:rFonts w:ascii="Arial" w:cs="Arial" w:eastAsia="Arial" w:hAnsi="Arial"/>
          <w:b/>
          <w:bCs/>
          <w:color w:val="C9962B"/>
          <w:sz w:val="28"/>
          <w:szCs w:val="28"/>
        </w:rPr>
        <w:t xml:space="preserve">05  </w:t>
      </w:r>
      <w:r>
        <w:rPr>
          <w:rFonts w:ascii="Arial" w:cs="Arial" w:eastAsia="Arial" w:hAnsi="Arial"/>
          <w:b/>
          <w:bCs/>
          <w:color w:val="1B3A6B"/>
          <w:sz w:val="28"/>
          <w:szCs w:val="28"/>
        </w:rPr>
        <w:t xml:space="preserve">THE HUMAN PERSONA ADVANTAGE: WHY PEOPLE ARE THE SYSTEM'S BEST OPTIMIZER</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In PSI theory, drives are not set-and-forget parameters. They are calibrated continuously through environmental feedback — the system learns which drive configurations produce good outcomes in which contexts. The analog in a legal process agent system is the role of human professional personas in ongoing weight optimization.</w:t>
      </w:r>
    </w:p>
    <w:p>
      <w:pPr>
        <w:spacing w:before="80" w:after="80" w:line="276"/>
      </w:pPr>
      <w:r>
        <w:rPr>
          <w:rFonts w:ascii="Georgia" w:cs="Georgia" w:eastAsia="Georgia" w:hAnsi="Georgia"/>
          <w:sz w:val="22"/>
          <w:szCs w:val="22"/>
        </w:rPr>
        <w:t xml:space="preserve">Research on human-in-the-loop (HITL) machine learning distinguishes three paradigms: active learning (system-controlled queries to humans), interactive machine learning (balanced bidirectional adjustment), and machine teaching (expert-controlled training). SilverTung's architecture targets the third paradigm — what Harvard Data Science Review calls the "centaur" model: hybrid human-algorithm collaboration in which the human is not merely a corrector of AI errors, but an equal partner whose professional judgment shapes the system's probabilistic weights over time.</w:t>
      </w:r>
    </w:p>
    <w:p>
      <w:pPr>
        <w:spacing w:before="80" w:after="80" w:line="276"/>
      </w:pPr>
      <w:r>
        <w:rPr>
          <w:rFonts w:ascii="Georgia" w:cs="Georgia" w:eastAsia="Georgia" w:hAnsi="Georgia"/>
          <w:sz w:val="22"/>
          <w:szCs w:val="22"/>
        </w:rPr>
        <w:t xml:space="preserve">The centaur model traces to chess grandmaster Garry Kasparov's observation after the Deep Blue era: "Weak human plus machine plus better process was superior to a strong computer alone and, more remarkably, superior to a strong human plus machine plus inferior process." The decisive variable is not computational power. It is process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EBF0F8" w:val="clear"/>
            <w:tcMar>
              <w:top w:type="dxa" w:w="120"/>
              <w:left w:type="dxa" w:w="180"/>
              <w:bottom w:type="dxa" w:w="120"/>
              <w:right w:type="dxa" w:w="180"/>
            </w:tcMar>
          </w:tcPr>
          <w:p>
            <w:pPr>
              <w:spacing w:before="0" w:after="60"/>
            </w:pPr>
            <w:r>
              <w:rPr>
                <w:rFonts w:ascii="Arial" w:cs="Arial" w:eastAsia="Arial" w:hAnsi="Arial"/>
                <w:b/>
                <w:bCs/>
                <w:caps/>
                <w:color w:val="1B3A6B"/>
                <w:sz w:val="20"/>
                <w:szCs w:val="20"/>
              </w:rPr>
              <w:t xml:space="preserve">⚡  The Weight Optimization Flywheel</w:t>
            </w:r>
          </w:p>
          <w:p>
            <w:pPr>
              <w:spacing w:before="60" w:after="60"/>
            </w:pPr>
            <w:r>
              <w:rPr>
                <w:rFonts w:ascii="Georgia" w:cs="Georgia" w:eastAsia="Georgia" w:hAnsi="Georgia"/>
                <w:sz w:val="22"/>
                <w:szCs w:val="22"/>
              </w:rPr>
              <w:t xml:space="preserve">When a supervising attorney corrects an agent output — a missed local rule, an outdated precedent, a mischaracterized asset — that correction is captured as a weighted feedback event that adjusts the agent's performance parameters within the ontological boundaries of that matter type. Each correction makes the next output more accurate. The system learns not from its own outputs alone, but from the professional judgment of the practitioners who supervise it. This is the mechanism by which SilverTung becomes demonstrably more accurate over time without becoming less accountable — because the human persona is not replaced by the system. The human persona is the system's primary optimization signal.</w:t>
            </w:r>
          </w:p>
          <w:p>
            <w:pPr>
              <w:spacing w:before="60" w:after="40"/>
            </w:pPr>
            <w:r>
              <w:rPr>
                <w:rFonts w:ascii="Georgia" w:cs="Georgia" w:eastAsia="Georgia" w:hAnsi="Georgia"/>
                <w:sz w:val="22"/>
                <w:szCs w:val="22"/>
              </w:rPr>
              <w:t xml:space="preserve">Research by Zhang, Liao &amp; Bellamy (2020, ACM FAccT) identifies the critical design target: not trust </w:t>
            </w:r>
            <w:r>
              <w:rPr>
                <w:rFonts w:ascii="Georgia" w:cs="Georgia" w:eastAsia="Georgia" w:hAnsi="Georgia"/>
                <w:i/>
                <w:iCs/>
                <w:sz w:val="22"/>
                <w:szCs w:val="22"/>
              </w:rPr>
              <w:t xml:space="preserve">enhancement</w:t>
            </w:r>
            <w:r>
              <w:rPr>
                <w:rFonts w:ascii="Georgia" w:cs="Georgia" w:eastAsia="Georgia" w:hAnsi="Georgia"/>
                <w:sz w:val="22"/>
                <w:szCs w:val="22"/>
              </w:rPr>
              <w:t xml:space="preserve"> — but trust </w:t>
            </w:r>
            <w:r>
              <w:rPr>
                <w:rFonts w:ascii="Georgia" w:cs="Georgia" w:eastAsia="Georgia" w:hAnsi="Georgia"/>
                <w:i/>
                <w:iCs/>
                <w:sz w:val="22"/>
                <w:szCs w:val="22"/>
              </w:rPr>
              <w:t xml:space="preserve">calibration.</w:t>
            </w:r>
            <w:r>
              <w:rPr>
                <w:rFonts w:ascii="Georgia" w:cs="Georgia" w:eastAsia="Georgia" w:hAnsi="Georgia"/>
                <w:sz w:val="22"/>
                <w:szCs w:val="22"/>
              </w:rPr>
              <w:t xml:space="preserve"> High performance indicators can make attorneys trust AI in cases where they should not. The persona feedback loop is the mechanism that builds case-by-case calibration rather than blanket deference.</w:t>
            </w:r>
          </w:p>
        </w:tc>
      </w:tr>
    </w:tbl>
    <w:p>
      <w:pPr>
        <w:spacing w:before="120" w:after="0"/>
      </w:pPr>
    </w:p>
    <w:p>
      <w:pPr>
        <w:spacing w:before="80" w:after="80" w:line="276"/>
      </w:pPr>
      <w:r>
        <w:rPr>
          <w:rFonts w:ascii="Georgia" w:cs="Georgia" w:eastAsia="Georgia" w:hAnsi="Georgia"/>
          <w:sz w:val="22"/>
          <w:szCs w:val="22"/>
        </w:rPr>
        <w:t xml:space="preserve">As professor Ashley Deeks argued in the Columbia Law Review (2019), judges are already demanding explainability from algorithmic systems appearing before them — developing, through common law reasoning, what explainability should mean in different legal contexts. The NIST AI Risk Management Framework (AI RMF 1.0, January 2023) establishes that trustworthy AI systems must be not only valid and reliable, but also accountable and transparent, explainable and interpretable. The EU AI Act explicitly classifies AI systems used to assist judicial authorities in researching and interpreting law as high-risk under Annex III, Section 8(a) — triggering mandatory compliance obligations by August 2, 2026.</w:t>
      </w:r>
    </w:p>
    <w:p>
      <w:pPr>
        <w:spacing w:before="80" w:after="80" w:line="276"/>
      </w:pPr>
      <w:r>
        <w:rPr>
          <w:rFonts w:ascii="Georgia" w:cs="Georgia" w:eastAsia="Georgia" w:hAnsi="Georgia"/>
          <w:sz w:val="22"/>
          <w:szCs w:val="22"/>
        </w:rPr>
        <w:t xml:space="preserve">The persona-grounded, ontology-audited architecture described here is not just a better product design. It is the only design architecture that can satisfy those governance requirements while delivering the productivity gains the legal profession urgently needs.</w:t>
      </w:r>
    </w:p>
    <w:p>
      <w:pPr>
        <w:spacing w:before="160" w:after="0"/>
      </w:pPr>
    </w:p>
    <w:p>
      <w:pPr>
        <w:spacing w:before="320" w:after="120"/>
      </w:pPr>
      <w:r>
        <w:rPr>
          <w:rFonts w:ascii="Arial" w:cs="Arial" w:eastAsia="Arial" w:hAnsi="Arial"/>
          <w:b/>
          <w:bCs/>
          <w:color w:val="C9962B"/>
          <w:sz w:val="28"/>
          <w:szCs w:val="28"/>
        </w:rPr>
        <w:t xml:space="preserve">06  </w:t>
      </w:r>
      <w:r>
        <w:rPr>
          <w:rFonts w:ascii="Arial" w:cs="Arial" w:eastAsia="Arial" w:hAnsi="Arial"/>
          <w:b/>
          <w:bCs/>
          <w:color w:val="1B3A6B"/>
          <w:sz w:val="28"/>
          <w:szCs w:val="28"/>
        </w:rPr>
        <w:t xml:space="preserve">KEY TAKEAWAYS: WHAT EVERY LEGAL TECHNOLOGY DECISION-MAKER MUST KNOW</w:t>
      </w:r>
    </w:p>
    <w:p>
      <w:pPr>
        <w:pBdr>
          <w:bottom w:val="single" w:color="1B3A6B" w:sz="8"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EBF0F8" w:val="clear"/>
            <w:tcMar>
              <w:top w:type="dxa" w:w="120"/>
              <w:left w:type="dxa" w:w="180"/>
              <w:bottom w:type="dxa" w:w="120"/>
              <w:right w:type="dxa" w:w="180"/>
            </w:tcMar>
          </w:tcPr>
          <w:p>
            <w:pPr>
              <w:spacing w:before="0" w:after="60"/>
            </w:pPr>
            <w:r>
              <w:rPr>
                <w:rFonts w:ascii="Arial" w:cs="Arial" w:eastAsia="Arial" w:hAnsi="Arial"/>
                <w:b/>
                <w:bCs/>
                <w:caps/>
                <w:color w:val="1B3A6B"/>
                <w:sz w:val="20"/>
                <w:szCs w:val="20"/>
              </w:rPr>
              <w:t xml:space="preserve">★  Core Takeaways</w:t>
            </w:r>
          </w:p>
          <w:p>
            <w:pPr>
              <w:pStyle w:val="ListParagraph"/>
              <w:numPr>
                <w:ilvl w:val="0"/>
                <w:numId w:val="3"/>
              </w:numPr>
              <w:spacing w:before="60" w:after="60" w:line="264"/>
            </w:pPr>
            <w:r>
              <w:rPr>
                <w:rFonts w:ascii="Georgia" w:cs="Georgia" w:eastAsia="Georgia" w:hAnsi="Georgia"/>
                <w:sz w:val="22"/>
                <w:szCs w:val="22"/>
              </w:rPr>
              <w:t xml:space="preserve">AI adoption tripled in one year, but the architecture is wrong. The ABA's 2024 Technology Survey found law firm AI adoption jumped from 11% to 30% in a single year. Most of that deployment is single-agent, prompt-based, and architecturally fragile. The firms that win the next decade will not be the ones who adopted AI fastest — they will be the ones who adopted it most correctly.</w:t>
            </w:r>
          </w:p>
          <w:p>
            <w:pPr>
              <w:pStyle w:val="ListParagraph"/>
              <w:numPr>
                <w:ilvl w:val="0"/>
                <w:numId w:val="3"/>
              </w:numPr>
              <w:spacing w:before="60" w:after="60" w:line="264"/>
            </w:pPr>
            <w:r>
              <w:rPr>
                <w:rFonts w:ascii="Georgia" w:cs="Georgia" w:eastAsia="Georgia" w:hAnsi="Georgia"/>
                <w:sz w:val="22"/>
                <w:szCs w:val="22"/>
              </w:rPr>
              <w:t xml:space="preserve">Motivation is the missing layer. PSI theory demonstrates that effective autonomous behavior requires an internal drive structure — not just a response capability. Legal AI systems built without purposeful agent configurations will continue to produce locally accurate, globally incoherent outputs. Differentiated drive sets are not a luxury feature. They are the prerequisite for reliable multi-dimensional legal analysis.</w:t>
            </w:r>
          </w:p>
          <w:p>
            <w:pPr>
              <w:pStyle w:val="ListParagraph"/>
              <w:numPr>
                <w:ilvl w:val="0"/>
                <w:numId w:val="3"/>
              </w:numPr>
              <w:spacing w:before="60" w:after="60" w:line="264"/>
            </w:pPr>
            <w:r>
              <w:rPr>
                <w:rFonts w:ascii="Georgia" w:cs="Georgia" w:eastAsia="Georgia" w:hAnsi="Georgia"/>
                <w:sz w:val="22"/>
                <w:szCs w:val="22"/>
              </w:rPr>
              <w:t xml:space="preserve">The orchestrator is the governance mechanism. A multi-agent system without a principled orchestrator is not a system — it is chaos with a user interface. The orchestrator's role as the architectural embodiment of Rule 5.1 and Rule 5.3 compliance is what makes AI-assisted legal work defensible under Ohio's professional responsibility framework.</w:t>
            </w:r>
          </w:p>
          <w:p>
            <w:pPr>
              <w:pStyle w:val="ListParagraph"/>
              <w:numPr>
                <w:ilvl w:val="0"/>
                <w:numId w:val="3"/>
              </w:numPr>
              <w:spacing w:before="60" w:after="60" w:line="264"/>
            </w:pPr>
            <w:r>
              <w:rPr>
                <w:rFonts w:ascii="Georgia" w:cs="Georgia" w:eastAsia="Georgia" w:hAnsi="Georgia"/>
                <w:sz w:val="22"/>
                <w:szCs w:val="22"/>
              </w:rPr>
              <w:t xml:space="preserve">Data-first means structured before it means processed. The ontology layer is not an optimization — it is the foundation. An AI that generates outputs not traceable to structured, typed, validated facts is not a legal AI system. It is a liability.</w:t>
            </w:r>
          </w:p>
          <w:p>
            <w:pPr>
              <w:pStyle w:val="ListParagraph"/>
              <w:numPr>
                <w:ilvl w:val="0"/>
                <w:numId w:val="3"/>
              </w:numPr>
              <w:spacing w:before="60" w:after="60" w:line="264"/>
            </w:pPr>
            <w:r>
              <w:rPr>
                <w:rFonts w:ascii="Georgia" w:cs="Georgia" w:eastAsia="Georgia" w:hAnsi="Georgia"/>
                <w:sz w:val="22"/>
                <w:szCs w:val="22"/>
              </w:rPr>
              <w:t xml:space="preserve">Financial data integration is the highest-value near-term opportunity. Ohio's Affidavit 1 is the most data-intensive, time-consuming, and error-prone document in a domestic relations case. Plaid-enabled direct ingestion of verified financial institution data — authorized under the CFPB's Section 1033 open banking rule — is the single workflow change with the highest immediate ROI and the strongest competitive moat.</w:t>
            </w:r>
          </w:p>
          <w:p>
            <w:pPr>
              <w:pStyle w:val="ListParagraph"/>
              <w:numPr>
                <w:ilvl w:val="0"/>
                <w:numId w:val="3"/>
              </w:numPr>
              <w:spacing w:before="60" w:after="60" w:line="264"/>
            </w:pPr>
            <w:r>
              <w:rPr>
                <w:rFonts w:ascii="Georgia" w:cs="Georgia" w:eastAsia="Georgia" w:hAnsi="Georgia"/>
                <w:sz w:val="22"/>
                <w:szCs w:val="22"/>
              </w:rPr>
              <w:t xml:space="preserve">Human personas are the optimization engine, not the bottleneck. The firms that position their senior attorneys and paralegals as persona calibrators — weight optimizers for the AI system — will build compounding competitive advantages. The firms that position AI as a replacement for professional judgment will build compounding liability.</w:t>
            </w:r>
          </w:p>
          <w:p>
            <w:pPr>
              <w:pStyle w:val="ListParagraph"/>
              <w:numPr>
                <w:ilvl w:val="0"/>
                <w:numId w:val="3"/>
              </w:numPr>
              <w:spacing w:before="60" w:after="60" w:line="264"/>
            </w:pPr>
            <w:r>
              <w:rPr>
                <w:rFonts w:ascii="Georgia" w:cs="Georgia" w:eastAsia="Georgia" w:hAnsi="Georgia"/>
                <w:sz w:val="22"/>
                <w:szCs w:val="22"/>
              </w:rPr>
              <w:t xml:space="preserve">Access to justice is the strategic mandate. The LSC's Justice Gap report found that 92% of low-income Americans' civil legal problems received no or inadequate legal help — with custody issues generating the highest demand for professional assistance (48%). AI-powered legal automation at SilverTung's cost structure is not just a business opportunity. It is the most scalable access-to-justice initiative the legal profession has ever had available.</w:t>
            </w:r>
          </w:p>
        </w:tc>
      </w:tr>
    </w:tbl>
    <w:p>
      <w:pPr>
        <w:spacing w:before="160" w:after="0"/>
      </w:pPr>
    </w:p>
    <w:p>
      <w:pPr>
        <w:spacing w:before="320" w:after="120"/>
      </w:pPr>
      <w:r>
        <w:rPr>
          <w:rFonts w:ascii="Arial" w:cs="Arial" w:eastAsia="Arial" w:hAnsi="Arial"/>
          <w:b/>
          <w:bCs/>
          <w:color w:val="C9962B"/>
          <w:sz w:val="28"/>
          <w:szCs w:val="28"/>
        </w:rPr>
        <w:t xml:space="preserve">07  </w:t>
      </w:r>
      <w:r>
        <w:rPr>
          <w:rFonts w:ascii="Arial" w:cs="Arial" w:eastAsia="Arial" w:hAnsi="Arial"/>
          <w:b/>
          <w:bCs/>
          <w:color w:val="1B3A6B"/>
          <w:sz w:val="28"/>
          <w:szCs w:val="28"/>
        </w:rPr>
        <w:t xml:space="preserve">INTEGRATION STRATEGY: BUILDING THE SYSTEM IN FOUR PHASES</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Translating PSI-informed multi-agent architecture from theory to production requires a sequenced build strategy. The following roadmap reflects the order in which agents deliver the highest value, the lowest professional responsibility risk, and the most tractable technical implementation: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5960"/>
      </w:tblGrid>
      <w:tr>
        <w:trPr>
          <w:tblHeader/>
        </w:trPr>
        <w:tc>
          <w:tcPr>
            <w:tcW w:type="dxa" w:w="200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PHASE</w:t>
            </w:r>
          </w:p>
        </w:tc>
        <w:tc>
          <w:tcPr>
            <w:tcW w:type="dxa" w:w="140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TIMELINE</w:t>
            </w:r>
          </w:p>
        </w:tc>
        <w:tc>
          <w:tcPr>
            <w:tcW w:type="dxa" w:w="5960"/>
            <w:tcBorders>
              <w:top w:val="single" w:color="BBBBBB" w:sz="4"/>
              <w:left w:val="single" w:color="BBBBBB" w:sz="4"/>
              <w:bottom w:val="single" w:color="BBBBBB" w:sz="4"/>
              <w:right w:val="single" w:color="BBBBBB" w:sz="4"/>
            </w:tcBorders>
            <w:shd w:fill="1B3A6B" w:val="clear"/>
            <w:tcMar>
              <w:top w:type="dxa" w:w="80"/>
              <w:left w:type="dxa" w:w="120"/>
              <w:bottom w:type="dxa" w:w="80"/>
              <w:right w:type="dxa" w:w="120"/>
            </w:tcMar>
          </w:tcPr>
          <w:p>
            <w:r>
              <w:rPr>
                <w:rFonts w:ascii="Arial" w:cs="Arial" w:eastAsia="Arial" w:hAnsi="Arial"/>
                <w:b/>
                <w:bCs/>
                <w:color w:val="FFFFFF"/>
                <w:sz w:val="18"/>
                <w:szCs w:val="18"/>
              </w:rPr>
              <w:t xml:space="preserve">KEY DELIVERABLES</w:t>
            </w:r>
          </w:p>
        </w:tc>
      </w:tr>
      <w:tr>
        <w:tc>
          <w:tcPr>
            <w:tcW w:type="dxa" w:w="20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Phase 1: Foundation</w:t>
            </w:r>
          </w:p>
        </w:tc>
        <w:tc>
          <w:tcPr>
            <w:tcW w:type="dxa" w:w="14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0–3 months</w:t>
            </w:r>
          </w:p>
        </w:tc>
        <w:tc>
          <w:tcPr>
            <w:tcW w:type="dxa" w:w="596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Deploy ontology layer + base agent on ORC 3119 child support (most formulaic). Integrate Plaid for Affidavit 1 financial population. Establish attorney review workflow.</w:t>
            </w:r>
          </w:p>
        </w:tc>
      </w:tr>
      <w:tr>
        <w:tc>
          <w:tcPr>
            <w:tcW w:type="dxa" w:w="2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Phase 2: Differentiation</w:t>
            </w:r>
          </w:p>
        </w:tc>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3–6 months</w:t>
            </w:r>
          </w:p>
        </w:tc>
        <w:tc>
          <w:tcPr>
            <w:tcW w:type="dxa" w:w="596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Launch Black Letter Law + Procedural agents with Lorain County rule sets. Add document output (Uniform DR Forms). Begin persona feedback loop with supervising attorney.</w:t>
            </w:r>
          </w:p>
        </w:tc>
      </w:tr>
      <w:tr>
        <w:tc>
          <w:tcPr>
            <w:tcW w:type="dxa" w:w="20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Phase 3: Intelligence</w:t>
            </w:r>
          </w:p>
        </w:tc>
        <w:tc>
          <w:tcPr>
            <w:tcW w:type="dxa" w:w="140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6–12 months</w:t>
            </w:r>
          </w:p>
        </w:tc>
        <w:tc>
          <w:tcPr>
            <w:tcW w:type="dxa" w:w="5960"/>
            <w:tcBorders>
              <w:top w:val="single" w:color="BBBBBB" w:sz="4"/>
              <w:left w:val="single" w:color="BBBBBB" w:sz="4"/>
              <w:bottom w:val="single" w:color="BBBBBB" w:sz="4"/>
              <w:right w:val="single" w:color="BBBBBB" w:sz="4"/>
            </w:tcBorders>
            <w:shd w:fill="EBF0F8" w:val="clear"/>
            <w:tcMar>
              <w:top w:type="dxa" w:w="80"/>
              <w:left w:type="dxa" w:w="120"/>
              <w:bottom w:type="dxa" w:w="80"/>
              <w:right w:type="dxa" w:w="120"/>
            </w:tcMar>
          </w:tcPr>
          <w:p>
            <w:r>
              <w:rPr>
                <w:rFonts w:ascii="Georgia" w:cs="Georgia" w:eastAsia="Georgia" w:hAnsi="Georgia"/>
                <w:sz w:val="20"/>
                <w:szCs w:val="20"/>
              </w:rPr>
              <w:t xml:space="preserve">Add Fiscal Analysis + Voice of Client agents. Activate orchestrator weighting logic. Integrate Rule 75(N) temporary order workflow end-to-end.</w:t>
            </w:r>
          </w:p>
        </w:tc>
      </w:tr>
      <w:tr>
        <w:tc>
          <w:tcPr>
            <w:tcW w:type="dxa" w:w="2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Phase 4: Optimization</w:t>
            </w:r>
          </w:p>
        </w:tc>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12–18 months</w:t>
            </w:r>
          </w:p>
        </w:tc>
        <w:tc>
          <w:tcPr>
            <w:tcW w:type="dxa" w:w="596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rFonts w:ascii="Georgia" w:cs="Georgia" w:eastAsia="Georgia" w:hAnsi="Georgia"/>
                <w:sz w:val="20"/>
                <w:szCs w:val="20"/>
              </w:rPr>
              <w:t xml:space="preserve">Launch Custody Psych Analysis agent (bounded). Implement COUNSEL/G3M governance monitoring. Expand to additional Ohio counties. Franchise readiness.</w:t>
            </w:r>
          </w:p>
        </w:tc>
      </w:tr>
    </w:tbl>
    <w:p>
      <w:pPr>
        <w:spacing w:before="40" w:after="0"/>
      </w:pPr>
    </w:p>
    <w:p>
      <w:pPr>
        <w:spacing w:before="40" w:after="120"/>
        <w:jc w:val="center"/>
      </w:pPr>
      <w:r>
        <w:rPr>
          <w:rFonts w:ascii="Arial" w:cs="Arial" w:eastAsia="Arial" w:hAnsi="Arial"/>
          <w:i/>
          <w:iCs/>
          <w:color w:val="888888"/>
          <w:sz w:val="18"/>
          <w:szCs w:val="18"/>
        </w:rPr>
        <w:t xml:space="preserve">Table 2: SilverTung PSI-Informed Implementation Roadmap</w:t>
      </w:r>
    </w:p>
    <w:p>
      <w:pPr>
        <w:spacing w:before="200" w:after="80"/>
      </w:pPr>
      <w:r>
        <w:rPr>
          <w:rFonts w:ascii="Arial" w:cs="Arial" w:eastAsia="Arial" w:hAnsi="Arial"/>
          <w:b/>
          <w:bCs/>
          <w:color w:val="1B3A6B"/>
          <w:sz w:val="24"/>
          <w:szCs w:val="24"/>
        </w:rPr>
        <w:t xml:space="preserve">Critical Design Constraints</w:t>
      </w:r>
    </w:p>
    <w:p>
      <w:pPr>
        <w:spacing w:before="80" w:after="80" w:line="276"/>
      </w:pPr>
      <w:r>
        <w:rPr>
          <w:rFonts w:ascii="Georgia" w:cs="Georgia" w:eastAsia="Georgia" w:hAnsi="Georgia"/>
          <w:sz w:val="22"/>
          <w:szCs w:val="22"/>
        </w:rPr>
        <w:t xml:space="preserve">Three constraints must be hardcoded into the architecture at every phase:</w:t>
      </w:r>
    </w:p>
    <w:p>
      <w:pPr>
        <w:pStyle w:val="ListParagraph"/>
        <w:numPr>
          <w:ilvl w:val="0"/>
          <w:numId w:val="3"/>
        </w:numPr>
        <w:spacing w:before="60" w:after="60" w:line="264"/>
      </w:pPr>
      <w:r>
        <w:rPr>
          <w:rFonts w:ascii="Georgia" w:cs="Georgia" w:eastAsia="Georgia" w:hAnsi="Georgia"/>
          <w:sz w:val="22"/>
          <w:szCs w:val="22"/>
        </w:rPr>
        <w:t xml:space="preserve">Attorney-in-the-loop is non-negotiable. ABA Formal Opinion 512 is explicit that AI tools cannot be delegated functions requiring a lawyer's personal judgment. The orchestrator must enforce that boundary structurally — not just as a policy statement, but as an architectural feature that routes specific output types to attorney review before they reach client-facing interfaces.</w:t>
      </w:r>
    </w:p>
    <w:p>
      <w:pPr>
        <w:pStyle w:val="ListParagraph"/>
        <w:numPr>
          <w:ilvl w:val="0"/>
          <w:numId w:val="3"/>
        </w:numPr>
        <w:spacing w:before="60" w:after="60" w:line="264"/>
      </w:pPr>
      <w:r>
        <w:rPr>
          <w:rFonts w:ascii="Georgia" w:cs="Georgia" w:eastAsia="Georgia" w:hAnsi="Georgia"/>
          <w:sz w:val="22"/>
          <w:szCs w:val="22"/>
        </w:rPr>
        <w:t xml:space="preserve">Ontological grounding before generation. No agent generates output on unstructured input. Every client representation must be typed and validated against the ontological schema before any downstream agent processes it. This is the data-first principle operationalized as a system constraint.</w:t>
      </w:r>
    </w:p>
    <w:p>
      <w:pPr>
        <w:pStyle w:val="ListParagraph"/>
        <w:numPr>
          <w:ilvl w:val="0"/>
          <w:numId w:val="3"/>
        </w:numPr>
        <w:spacing w:before="60" w:after="60" w:line="264"/>
      </w:pPr>
      <w:r>
        <w:rPr>
          <w:rFonts w:ascii="Georgia" w:cs="Georgia" w:eastAsia="Georgia" w:hAnsi="Georgia"/>
          <w:sz w:val="22"/>
          <w:szCs w:val="22"/>
        </w:rPr>
        <w:t xml:space="preserve">Epistemic humility calibration for bounded agents. The Custody Psychologist Analysis agent's output constraints are not optional. Clinical framing in AI output, if it reaches a court unreviewed, is not just a malpractice risk — it is an unauthorized practice of law risk under Ohio's UPL statutes and an ethical violation under Rule 3.3 (candor toward the tribunal). The boundary is architectural, enforced by the orchestrator, and non-negotiable.</w:t>
      </w:r>
    </w:p>
    <w:p>
      <w:pPr>
        <w:spacing w:before="120" w:after="0"/>
      </w:pP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8000"/>
      </w:tblGrid>
      <w:tr>
        <w:tc>
          <w:tcPr>
            <w:tcW w:type="dxa" w:w="8000"/>
            <w:tcBorders>
              <w:top w:val="nil" w:color="FFFFFF" w:sz="0"/>
              <w:left w:val="single" w:color="C9962B" w:sz="18"/>
              <w:bottom w:val="nil" w:color="FFFFFF" w:sz="0"/>
              <w:right w:val="nil" w:color="FFFFFF" w:sz="0"/>
            </w:tcBorders>
            <w:shd w:fill="EBF0F8" w:val="clear"/>
            <w:tcMar>
              <w:top w:type="dxa" w:w="100"/>
              <w:left w:type="dxa" w:w="240"/>
              <w:bottom w:type="dxa" w:w="100"/>
              <w:right w:type="dxa" w:w="240"/>
            </w:tcMar>
          </w:tcPr>
          <w:p>
            <w:pPr>
              <w:spacing w:before="60" w:after="60" w:line="300"/>
              <w:jc w:val="center"/>
            </w:pPr>
            <w:r>
              <w:rPr>
                <w:rFonts w:ascii="Georgia" w:cs="Georgia" w:eastAsia="Georgia" w:hAnsi="Georgia"/>
                <w:i/>
                <w:iCs/>
                <w:color w:val="1B3A6B"/>
                <w:sz w:val="26"/>
                <w:szCs w:val="26"/>
              </w:rPr>
              <w:t xml:space="preserve">“The question for the legal profession is not whether motivated AI is coming. It is already here. The question is whether the profession will shape the architecture of that motivation — or inherit whatever architecture the technology vendors happened to build.”</w:t>
            </w:r>
          </w:p>
          <w:p>
            <w:pPr>
              <w:spacing w:before="40" w:after="60"/>
              <w:jc w:val="center"/>
            </w:pPr>
            <w:r>
              <w:rPr>
                <w:rFonts w:ascii="Arial" w:cs="Arial" w:eastAsia="Arial" w:hAnsi="Arial"/>
                <w:b/>
                <w:bCs/>
                <w:color w:val="C9962B"/>
                <w:sz w:val="18"/>
                <w:szCs w:val="18"/>
              </w:rPr>
              <w:t xml:space="preserve">— Matt Mishak, LegalTek.ai</w:t>
            </w:r>
          </w:p>
        </w:tc>
      </w:tr>
    </w:tbl>
    <w:p>
      <w:pPr>
        <w:spacing w:before="160" w:after="0"/>
      </w:pPr>
    </w:p>
    <w:p>
      <w:pPr>
        <w:spacing w:before="320" w:after="120"/>
      </w:pPr>
      <w:r>
        <w:rPr>
          <w:rFonts w:ascii="Arial" w:cs="Arial" w:eastAsia="Arial" w:hAnsi="Arial"/>
          <w:b/>
          <w:bCs/>
          <w:color w:val="C9962B"/>
          <w:sz w:val="28"/>
          <w:szCs w:val="28"/>
        </w:rPr>
        <w:t xml:space="preserve">08  </w:t>
      </w:r>
      <w:r>
        <w:rPr>
          <w:rFonts w:ascii="Arial" w:cs="Arial" w:eastAsia="Arial" w:hAnsi="Arial"/>
          <w:b/>
          <w:bCs/>
          <w:color w:val="1B3A6B"/>
          <w:sz w:val="28"/>
          <w:szCs w:val="28"/>
        </w:rPr>
        <w:t xml:space="preserve">THE WOW FACTORS: WHAT THIS ARCHITECTURE MAKES POSSIBLE</w:t>
      </w:r>
    </w:p>
    <w:p>
      <w:pPr>
        <w:pBdr>
          <w:bottom w:val="single" w:color="1B3A6B" w:sz="8"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62B" w:sz="6"/>
              <w:left w:val="single" w:color="C9962B" w:sz="6"/>
              <w:bottom w:val="single" w:color="C9962B" w:sz="6"/>
              <w:right w:val="single" w:color="C9962B" w:sz="6"/>
            </w:tcBorders>
            <w:shd w:fill="FDF6E3" w:val="clear"/>
            <w:tcMar>
              <w:top w:type="dxa" w:w="120"/>
              <w:left w:type="dxa" w:w="180"/>
              <w:bottom w:type="dxa" w:w="120"/>
              <w:right w:type="dxa" w:w="180"/>
            </w:tcMar>
          </w:tcPr>
          <w:p>
            <w:pPr>
              <w:spacing w:before="0" w:after="60"/>
            </w:pPr>
            <w:r>
              <w:rPr>
                <w:rFonts w:ascii="Arial" w:cs="Arial" w:eastAsia="Arial" w:hAnsi="Arial"/>
                <w:b/>
                <w:bCs/>
                <w:caps/>
                <w:color w:val="C9962B"/>
                <w:sz w:val="20"/>
                <w:szCs w:val="20"/>
              </w:rPr>
              <w:t xml:space="preserve">★  Five Capabilities That Will Redefine Legal Practice</w:t>
            </w:r>
          </w:p>
          <w:p>
            <w:pPr>
              <w:spacing w:before="60" w:after="80"/>
            </w:pPr>
            <w:r>
              <w:rPr>
                <w:rFonts w:ascii="Georgia" w:cs="Georgia" w:eastAsia="Georgia" w:hAnsi="Georgia"/>
                <w:b/>
                <w:bCs/>
                <w:sz w:val="22"/>
                <w:szCs w:val="22"/>
              </w:rPr>
              <w:t xml:space="preserve">1. Real-Time Case Intelligence Reweighting. </w:t>
            </w:r>
            <w:r>
              <w:rPr>
                <w:rFonts w:ascii="Georgia" w:cs="Georgia" w:eastAsia="Georgia" w:hAnsi="Georgia"/>
                <w:sz w:val="22"/>
                <w:szCs w:val="22"/>
              </w:rPr>
              <w:t xml:space="preserve">When a client discloses a fact mid-intake that changes the strategic calculus — a hidden business interest, a history of domestic violence, a pension the other party has never disclosed — the orchestrator reweights the specialist agent outputs in real time, exactly as a senior partner would reprioritize the team's attention. No other legal AI architecture does this automatically.</w:t>
            </w:r>
          </w:p>
          <w:p>
            <w:pPr>
              <w:spacing w:before="60" w:after="80"/>
            </w:pPr>
            <w:r>
              <w:rPr>
                <w:rFonts w:ascii="Georgia" w:cs="Georgia" w:eastAsia="Georgia" w:hAnsi="Georgia"/>
                <w:b/>
                <w:bCs/>
                <w:sz w:val="22"/>
                <w:szCs w:val="22"/>
              </w:rPr>
              <w:t xml:space="preserve">2. Zero-Hallucination Financial Disclosure. </w:t>
            </w:r>
            <w:r>
              <w:rPr>
                <w:rFonts w:ascii="Georgia" w:cs="Georgia" w:eastAsia="Georgia" w:hAnsi="Georgia"/>
                <w:sz w:val="22"/>
                <w:szCs w:val="22"/>
              </w:rPr>
              <w:t xml:space="preserve">By ingesting verified Plaid financial data directly into Affidavit 1 population, the Fiscal Analysis agent eliminates the single largest source of financial error in divorce litigation: client misremembering. Verified data means verified disclosure. That is not just an efficiency gain — it is a professional liability risk reduction of the first order.</w:t>
            </w:r>
          </w:p>
          <w:p>
            <w:pPr>
              <w:spacing w:before="60" w:after="80"/>
            </w:pPr>
            <w:r>
              <w:rPr>
                <w:rFonts w:ascii="Georgia" w:cs="Georgia" w:eastAsia="Georgia" w:hAnsi="Georgia"/>
                <w:b/>
                <w:bCs/>
                <w:sz w:val="22"/>
                <w:szCs w:val="22"/>
              </w:rPr>
              <w:t xml:space="preserve">3. Court-Specific Procedural Intelligence. </w:t>
            </w:r>
            <w:r>
              <w:rPr>
                <w:rFonts w:ascii="Georgia" w:cs="Georgia" w:eastAsia="Georgia" w:hAnsi="Georgia"/>
                <w:sz w:val="22"/>
                <w:szCs w:val="22"/>
              </w:rPr>
              <w:t xml:space="preserve">The Procedural Analysis agent, calibrated to Lorain County Domestic Relations Court's specific local rules and practices, can produce a filing strategy that reflects how that court actually operates — not just how statewide rules say it should operate. Judges care about local practice. Most AI tools are blind to it.</w:t>
            </w:r>
          </w:p>
          <w:p>
            <w:pPr>
              <w:spacing w:before="60" w:after="80"/>
            </w:pPr>
            <w:r>
              <w:rPr>
                <w:rFonts w:ascii="Georgia" w:cs="Georgia" w:eastAsia="Georgia" w:hAnsi="Georgia"/>
                <w:b/>
                <w:bCs/>
                <w:sz w:val="22"/>
                <w:szCs w:val="22"/>
              </w:rPr>
              <w:t xml:space="preserve">4. Compounding Professional Intelligence. </w:t>
            </w:r>
            <w:r>
              <w:rPr>
                <w:rFonts w:ascii="Georgia" w:cs="Georgia" w:eastAsia="Georgia" w:hAnsi="Georgia"/>
                <w:sz w:val="22"/>
                <w:szCs w:val="22"/>
              </w:rPr>
              <w:t xml:space="preserve">Every attorney correction to agent output is a training signal. A firm that processes 200 domestic relations matters per year is generating 200 persona-calibrated feedback events per year, making the system demonstrably more accurate over time. After three years, the system's Lorain County procedural intelligence will be qualitatively different from what any out-of-the-box legal AI can offer.</w:t>
            </w:r>
          </w:p>
          <w:p>
            <w:pPr>
              <w:spacing w:before="60" w:after="40"/>
            </w:pPr>
            <w:r>
              <w:rPr>
                <w:rFonts w:ascii="Georgia" w:cs="Georgia" w:eastAsia="Georgia" w:hAnsi="Georgia"/>
                <w:b/>
                <w:bCs/>
                <w:sz w:val="22"/>
                <w:szCs w:val="22"/>
              </w:rPr>
              <w:t xml:space="preserve">5. Franchise-Ready Governance Architecture. </w:t>
            </w:r>
            <w:r>
              <w:rPr>
                <w:rFonts w:ascii="Georgia" w:cs="Georgia" w:eastAsia="Georgia" w:hAnsi="Georgia"/>
                <w:sz w:val="22"/>
                <w:szCs w:val="22"/>
              </w:rPr>
              <w:t xml:space="preserve">The COUNSEL framework and G3M governance methodology embedded in the orchestrator layer are not just compliance checkboxes. They are the infrastructure for franchising the SilverTung platform to other Ohio family law firms — and ultimately to domestic relations practices in other jurisdictions. A platform that can demonstrate auditable, attorney-supervised, ontology-grounded AI outputs is a platform that can survive bar association scrutiny, malpractice carrier underwriting, and judicial inquiry. That is the architecture of a defensible, scalable legal technology business.</w:t>
            </w:r>
          </w:p>
        </w:tc>
      </w:tr>
    </w:tbl>
    <w:p>
      <w:pPr>
        <w:spacing w:before="160" w:after="0"/>
      </w:pPr>
    </w:p>
    <w:p>
      <w:pPr>
        <w:spacing w:before="320" w:after="120"/>
      </w:pPr>
      <w:r>
        <w:rPr>
          <w:rFonts w:ascii="Arial" w:cs="Arial" w:eastAsia="Arial" w:hAnsi="Arial"/>
          <w:b/>
          <w:bCs/>
          <w:color w:val="C9962B"/>
          <w:sz w:val="28"/>
          <w:szCs w:val="28"/>
        </w:rPr>
        <w:t xml:space="preserve">09  </w:t>
      </w:r>
      <w:r>
        <w:rPr>
          <w:rFonts w:ascii="Arial" w:cs="Arial" w:eastAsia="Arial" w:hAnsi="Arial"/>
          <w:b/>
          <w:bCs/>
          <w:color w:val="1B3A6B"/>
          <w:sz w:val="28"/>
          <w:szCs w:val="28"/>
        </w:rPr>
        <w:t xml:space="preserve">CONCLUSION: THE PROFESSION'S NEXT FUNDAMENTAL COMPETENCY</w:t>
      </w:r>
    </w:p>
    <w:p>
      <w:pPr>
        <w:pBdr>
          <w:bottom w:val="single" w:color="1B3A6B" w:sz="8" w:space="1"/>
        </w:pBdr>
        <w:spacing w:before="120" w:after="120"/>
      </w:pPr>
    </w:p>
    <w:p>
      <w:pPr>
        <w:spacing w:before="80" w:after="80" w:line="276"/>
      </w:pPr>
      <w:r>
        <w:rPr>
          <w:rFonts w:ascii="Georgia" w:cs="Georgia" w:eastAsia="Georgia" w:hAnsi="Georgia"/>
          <w:sz w:val="22"/>
          <w:szCs w:val="22"/>
        </w:rPr>
        <w:t xml:space="preserve">PSI and MicroPSI were never intended as legal AI architectures. Joscha Bach was building toward artificial general intelligence — systems capable of behaving purposefully in complex environments over extended time horizons. But the architecture he described, and the cognitive science Dörner developed before him, provides the clearest available roadmap for what legal AI must become.</w:t>
      </w:r>
    </w:p>
    <w:p>
      <w:pPr>
        <w:spacing w:before="80" w:after="80" w:line="276"/>
      </w:pPr>
      <w:r>
        <w:rPr>
          <w:rFonts w:ascii="Georgia" w:cs="Georgia" w:eastAsia="Georgia" w:hAnsi="Georgia"/>
          <w:sz w:val="22"/>
          <w:szCs w:val="22"/>
        </w:rPr>
        <w:t xml:space="preserve">The legal profession is not facing an automation threat. It is facing a differentiation moment. The Clio 2024 Legal Trends Report found that 74% of a law firm's billable tasks are potentially exposed to AI automation — 57% for lawyers specifically, 69% for paralegals. The AffiniPay 2025 Legal Industry Report found that 65% of AI users already save between one and five hours per week. Thomson Reuters projects five hours per week per attorney — $19,000 per employee annually — unlocked by AI adoption.</w:t>
      </w:r>
    </w:p>
    <w:p>
      <w:pPr>
        <w:spacing w:before="80" w:after="80" w:line="276"/>
      </w:pPr>
      <w:r>
        <w:rPr>
          <w:rFonts w:ascii="Georgia" w:cs="Georgia" w:eastAsia="Georgia" w:hAnsi="Georgia"/>
          <w:sz w:val="22"/>
          <w:szCs w:val="22"/>
        </w:rPr>
        <w:t xml:space="preserve">Those numbers are achievable with today's technology. But they require an architecture capable of purposeful multi-dimensional legal analysis — not just faster document retrieval. They require a system that knows what it is for, coordinates its constituent intelligence around that purpose, and remains accountable to the licensed professional who bears final responsibility for the representation.</w:t>
      </w:r>
    </w:p>
    <w:p>
      <w:pPr>
        <w:spacing w:before="80" w:after="80" w:line="276"/>
      </w:pPr>
      <w:r>
        <w:rPr>
          <w:rFonts w:ascii="Georgia" w:cs="Georgia" w:eastAsia="Georgia" w:hAnsi="Georgia"/>
          <w:sz w:val="22"/>
          <w:szCs w:val="22"/>
        </w:rPr>
        <w:t xml:space="preserve">That is the architecture described in this article. That is what SilverTung is building.</w:t>
      </w:r>
    </w:p>
    <w:p>
      <w:pPr>
        <w:spacing w:before="80" w:after="80" w:line="276"/>
      </w:pPr>
      <w:r>
        <w:rPr>
          <w:rFonts w:ascii="Georgia" w:cs="Georgia" w:eastAsia="Georgia" w:hAnsi="Georgia"/>
          <w:sz w:val="22"/>
          <w:szCs w:val="22"/>
        </w:rPr>
        <w:t xml:space="preserve">The PSI lesson — that motivation is the organizing principle of intelligence — applies to human legal professionals and artificial ones alike. The question is not whether to build motivated AI. The market is already building it. The question is whether the legal profession will be the architect of that motivation, or its inheritor.</w:t>
      </w:r>
    </w:p>
    <w:p>
      <w:pPr>
        <w:spacing w:before="80" w:after="80" w:line="276"/>
      </w:pPr>
      <w:r>
        <w:rPr>
          <w:rFonts w:ascii="Georgia" w:cs="Georgia" w:eastAsia="Georgia" w:hAnsi="Georgia"/>
          <w:sz w:val="22"/>
          <w:szCs w:val="22"/>
        </w:rPr>
        <w:t xml:space="preserve">Building the architecture is not optional. It is the profession's next fundamental competency.</w:t>
      </w:r>
    </w:p>
    <w:p>
      <w:pPr>
        <w:spacing w:before="160" w:after="0"/>
      </w:pPr>
    </w:p>
    <w:p>
      <w:pPr>
        <w:pBdr>
          <w:bottom w:val="single" w:color="C9962B" w:sz="8" w:space="1"/>
        </w:pBdr>
        <w:spacing w:before="120" w:after="120"/>
      </w:pPr>
    </w:p>
    <w:p>
      <w:pPr>
        <w:spacing w:before="80" w:after="0"/>
      </w:pPr>
    </w:p>
    <w:p>
      <w:pPr>
        <w:spacing w:before="80" w:after="80"/>
      </w:pPr>
      <w:r>
        <w:rPr>
          <w:rFonts w:ascii="Arial" w:cs="Arial" w:eastAsia="Arial" w:hAnsi="Arial"/>
          <w:b/>
          <w:bCs/>
          <w:caps/>
          <w:color w:val="1B3A6B"/>
          <w:sz w:val="20"/>
          <w:szCs w:val="20"/>
        </w:rPr>
        <w:t xml:space="preserve">KEY SOURCES &amp; CITATIONS</w:t>
      </w:r>
    </w:p>
    <w:p>
      <w:pPr>
        <w:spacing w:before="40" w:after="60"/>
      </w:pPr>
      <w:r>
        <w:rPr>
          <w:rFonts w:ascii="Georgia" w:cs="Georgia" w:eastAsia="Georgia" w:hAnsi="Georgia"/>
          <w:color w:val="444444"/>
          <w:sz w:val="18"/>
          <w:szCs w:val="18"/>
        </w:rPr>
        <w:t xml:space="preserve">1. Bach, Joscha. Principles of Synthetic Intelligence: PSI: An Architecture of Motivated Cognition. Oxford University Press, 2009.</w:t>
      </w:r>
    </w:p>
    <w:p>
      <w:pPr>
        <w:spacing w:before="20" w:after="60"/>
      </w:pPr>
      <w:r>
        <w:rPr>
          <w:rFonts w:ascii="Georgia" w:cs="Georgia" w:eastAsia="Georgia" w:hAnsi="Georgia"/>
          <w:color w:val="444444"/>
          <w:sz w:val="18"/>
          <w:szCs w:val="18"/>
        </w:rPr>
        <w:t xml:space="preserve">2. Dörner, D. &amp; Güss, C.D. "PSI: A Computational Architecture of Cognition, Motivation, and Emotion." Review of General Psychology, 17(3), 2013.</w:t>
      </w:r>
    </w:p>
    <w:p>
      <w:pPr>
        <w:spacing w:before="20" w:after="60"/>
      </w:pPr>
      <w:r>
        <w:rPr>
          <w:rFonts w:ascii="Georgia" w:cs="Georgia" w:eastAsia="Georgia" w:hAnsi="Georgia"/>
          <w:color w:val="444444"/>
          <w:sz w:val="18"/>
          <w:szCs w:val="18"/>
        </w:rPr>
        <w:t xml:space="preserve">3. Bach, J. "The MicroPsi Agent Architecture." Proceedings of ICCM-5, Bamberg, Germany, 2003.</w:t>
      </w:r>
    </w:p>
    <w:p>
      <w:pPr>
        <w:spacing w:before="20" w:after="60"/>
      </w:pPr>
      <w:r>
        <w:rPr>
          <w:rFonts w:ascii="Georgia" w:cs="Georgia" w:eastAsia="Georgia" w:hAnsi="Georgia"/>
          <w:color w:val="444444"/>
          <w:sz w:val="18"/>
          <w:szCs w:val="18"/>
        </w:rPr>
        <w:t xml:space="preserve">4. Bach, J. "A Framework for Emergent Emotions, Based on Motivation and Cognitive Modulators." International Journal of Synthetic Emotions, 3(1), 2012.</w:t>
      </w:r>
    </w:p>
    <w:p>
      <w:pPr>
        <w:spacing w:before="20" w:after="60"/>
      </w:pPr>
      <w:r>
        <w:rPr>
          <w:rFonts w:ascii="Georgia" w:cs="Georgia" w:eastAsia="Georgia" w:hAnsi="Georgia"/>
          <w:color w:val="444444"/>
          <w:sz w:val="18"/>
          <w:szCs w:val="18"/>
        </w:rPr>
        <w:t xml:space="preserve">5. Rasmussen, J. "Skills, Rules, and Knowledge." IEEE Transactions on Systems, Man, and Cybernetics, SMC-13(3), 1983.</w:t>
      </w:r>
    </w:p>
    <w:p>
      <w:pPr>
        <w:spacing w:before="20" w:after="60"/>
      </w:pPr>
      <w:r>
        <w:rPr>
          <w:rFonts w:ascii="Georgia" w:cs="Georgia" w:eastAsia="Georgia" w:hAnsi="Georgia"/>
          <w:color w:val="444444"/>
          <w:sz w:val="18"/>
          <w:szCs w:val="18"/>
        </w:rPr>
        <w:t xml:space="preserve">6. ABA Standing Committee on Ethics and Professional Responsibility. Formal Opinion 512: "Generative Artificial Intelligence Tools." July 29, 2024.</w:t>
      </w:r>
    </w:p>
    <w:p>
      <w:pPr>
        <w:spacing w:before="20" w:after="60"/>
      </w:pPr>
      <w:r>
        <w:rPr>
          <w:rFonts w:ascii="Georgia" w:cs="Georgia" w:eastAsia="Georgia" w:hAnsi="Georgia"/>
          <w:color w:val="444444"/>
          <w:sz w:val="18"/>
          <w:szCs w:val="18"/>
        </w:rPr>
        <w:t xml:space="preserve">7. Ohio Rules of Professional Conduct, Rules 1.1, 5.1, 5.3. Supreme Court of Ohio (as amended Jan. 1, 2026).</w:t>
      </w:r>
    </w:p>
    <w:p>
      <w:pPr>
        <w:spacing w:before="20" w:after="60"/>
      </w:pPr>
      <w:r>
        <w:rPr>
          <w:rFonts w:ascii="Georgia" w:cs="Georgia" w:eastAsia="Georgia" w:hAnsi="Georgia"/>
          <w:color w:val="444444"/>
          <w:sz w:val="18"/>
          <w:szCs w:val="18"/>
        </w:rPr>
        <w:t xml:space="preserve">8. Dell'Acqua, F. et al. "Navigating the Jagged Technological Frontier." Harvard Business School Working Paper 24-013, 2023.</w:t>
      </w:r>
    </w:p>
    <w:p>
      <w:pPr>
        <w:spacing w:before="20" w:after="60"/>
      </w:pPr>
      <w:r>
        <w:rPr>
          <w:rFonts w:ascii="Georgia" w:cs="Georgia" w:eastAsia="Georgia" w:hAnsi="Georgia"/>
          <w:color w:val="444444"/>
          <w:sz w:val="18"/>
          <w:szCs w:val="18"/>
        </w:rPr>
        <w:t xml:space="preserve">9. American Bar Association. "2024 Legal Technology Survey Report / Artificial Intelligence TechReport." March 2025.</w:t>
      </w:r>
    </w:p>
    <w:p>
      <w:pPr>
        <w:spacing w:before="20" w:after="60"/>
      </w:pPr>
      <w:r>
        <w:rPr>
          <w:rFonts w:ascii="Georgia" w:cs="Georgia" w:eastAsia="Georgia" w:hAnsi="Georgia"/>
          <w:color w:val="444444"/>
          <w:sz w:val="18"/>
          <w:szCs w:val="18"/>
        </w:rPr>
        <w:t xml:space="preserve">10. Thomson Reuters. "2025 Future of Professionals Report." June 2025.</w:t>
      </w:r>
    </w:p>
    <w:p>
      <w:pPr>
        <w:spacing w:before="20" w:after="60"/>
      </w:pPr>
      <w:r>
        <w:rPr>
          <w:rFonts w:ascii="Georgia" w:cs="Georgia" w:eastAsia="Georgia" w:hAnsi="Georgia"/>
          <w:color w:val="444444"/>
          <w:sz w:val="18"/>
          <w:szCs w:val="18"/>
        </w:rPr>
        <w:t xml:space="preserve">11. Clio. "2024 Legal Trends Report." October 2024.</w:t>
      </w:r>
    </w:p>
    <w:p>
      <w:pPr>
        <w:spacing w:before="20" w:after="60"/>
      </w:pPr>
      <w:r>
        <w:rPr>
          <w:rFonts w:ascii="Georgia" w:cs="Georgia" w:eastAsia="Georgia" w:hAnsi="Georgia"/>
          <w:color w:val="444444"/>
          <w:sz w:val="18"/>
          <w:szCs w:val="18"/>
        </w:rPr>
        <w:t xml:space="preserve">12. Ohio Revised Code §§ 3105.011, 3105.18, 3109.04, 3119.01, 3121.03. codes.ohio.gov.</w:t>
      </w:r>
    </w:p>
    <w:p>
      <w:pPr>
        <w:spacing w:before="20" w:after="60"/>
      </w:pPr>
      <w:r>
        <w:rPr>
          <w:rFonts w:ascii="Georgia" w:cs="Georgia" w:eastAsia="Georgia" w:hAnsi="Georgia"/>
          <w:color w:val="444444"/>
          <w:sz w:val="18"/>
          <w:szCs w:val="18"/>
        </w:rPr>
        <w:t xml:space="preserve">13. Ohio Rules of Civil Procedure, Rule 75(N). Supreme Court of Ohio.</w:t>
      </w:r>
    </w:p>
    <w:p>
      <w:pPr>
        <w:spacing w:before="20" w:after="60"/>
      </w:pPr>
      <w:r>
        <w:rPr>
          <w:rFonts w:ascii="Georgia" w:cs="Georgia" w:eastAsia="Georgia" w:hAnsi="Georgia"/>
          <w:color w:val="444444"/>
          <w:sz w:val="18"/>
          <w:szCs w:val="18"/>
        </w:rPr>
        <w:t xml:space="preserve">14. Uniform Domestic Relations Form — Affidavit 1. Supreme Court of Ohio, amended June 1, 2021.</w:t>
      </w:r>
    </w:p>
    <w:p>
      <w:pPr>
        <w:spacing w:before="20" w:after="60"/>
      </w:pPr>
      <w:r>
        <w:rPr>
          <w:rFonts w:ascii="Georgia" w:cs="Georgia" w:eastAsia="Georgia" w:hAnsi="Georgia"/>
          <w:color w:val="444444"/>
          <w:sz w:val="18"/>
          <w:szCs w:val="18"/>
        </w:rPr>
        <w:t xml:space="preserve">15. Lorain County Domestic Relations Court Local Rules. Amended October 25, 2022. lcdrc.org.</w:t>
      </w:r>
    </w:p>
    <w:p>
      <w:pPr>
        <w:spacing w:before="20" w:after="60"/>
      </w:pPr>
      <w:r>
        <w:rPr>
          <w:rFonts w:ascii="Georgia" w:cs="Georgia" w:eastAsia="Georgia" w:hAnsi="Georgia"/>
          <w:color w:val="444444"/>
          <w:sz w:val="18"/>
          <w:szCs w:val="18"/>
        </w:rPr>
        <w:t xml:space="preserve">16. CFPB. "Personal Financial Data Rights Rule." Section 1033, Dodd-Frank Act. October 2024.</w:t>
      </w:r>
    </w:p>
    <w:p>
      <w:pPr>
        <w:spacing w:before="20" w:after="60"/>
      </w:pPr>
      <w:r>
        <w:rPr>
          <w:rFonts w:ascii="Georgia" w:cs="Georgia" w:eastAsia="Georgia" w:hAnsi="Georgia"/>
          <w:color w:val="444444"/>
          <w:sz w:val="18"/>
          <w:szCs w:val="18"/>
        </w:rPr>
        <w:t xml:space="preserve">17. NIST. AI Risk Management Framework (AI RMF 1.0). NIST AI 100-1. January 26, 2023.</w:t>
      </w:r>
    </w:p>
    <w:p>
      <w:pPr>
        <w:spacing w:before="20" w:after="60"/>
      </w:pPr>
      <w:r>
        <w:rPr>
          <w:rFonts w:ascii="Georgia" w:cs="Georgia" w:eastAsia="Georgia" w:hAnsi="Georgia"/>
          <w:color w:val="444444"/>
          <w:sz w:val="18"/>
          <w:szCs w:val="18"/>
        </w:rPr>
        <w:t xml:space="preserve">18. Regulation (EU) 2024/1689 — EU Artificial Intelligence Act. Annex III, Section 8(a). In force August 1, 2024.</w:t>
      </w:r>
    </w:p>
    <w:p>
      <w:pPr>
        <w:spacing w:before="20" w:after="60"/>
      </w:pPr>
      <w:r>
        <w:rPr>
          <w:rFonts w:ascii="Georgia" w:cs="Georgia" w:eastAsia="Georgia" w:hAnsi="Georgia"/>
          <w:color w:val="444444"/>
          <w:sz w:val="18"/>
          <w:szCs w:val="18"/>
        </w:rPr>
        <w:t xml:space="preserve">19. Hoekstra, R. et al. "LKIF Core: Principled Ontology Development for the Legal Domain." LOAIT, 2007.</w:t>
      </w:r>
    </w:p>
    <w:p>
      <w:pPr>
        <w:spacing w:before="20" w:after="60"/>
      </w:pPr>
      <w:r>
        <w:rPr>
          <w:rFonts w:ascii="Georgia" w:cs="Georgia" w:eastAsia="Georgia" w:hAnsi="Georgia"/>
          <w:color w:val="444444"/>
          <w:sz w:val="18"/>
          <w:szCs w:val="18"/>
        </w:rPr>
        <w:t xml:space="preserve">20. Zhang, Y., Liao, Q.V. &amp; Bellamy, R.K.E. "Effect of Confidence and Explanation on Accuracy and Trust Calibration." ACM FAccT, 2020.</w:t>
      </w:r>
    </w:p>
    <w:p>
      <w:pPr>
        <w:spacing w:before="20" w:after="60"/>
      </w:pPr>
      <w:r>
        <w:rPr>
          <w:rFonts w:ascii="Georgia" w:cs="Georgia" w:eastAsia="Georgia" w:hAnsi="Georgia"/>
          <w:color w:val="444444"/>
          <w:sz w:val="18"/>
          <w:szCs w:val="18"/>
        </w:rPr>
        <w:t xml:space="preserve">21. Shmueli, G. "Effective Generative AI: The Human-Algorithm Centaur." Harvard Data Science Review, Special Issue 5, 2024.</w:t>
      </w:r>
    </w:p>
    <w:p>
      <w:pPr>
        <w:spacing w:before="20" w:after="60"/>
      </w:pPr>
      <w:r>
        <w:rPr>
          <w:rFonts w:ascii="Georgia" w:cs="Georgia" w:eastAsia="Georgia" w:hAnsi="Georgia"/>
          <w:color w:val="444444"/>
          <w:sz w:val="18"/>
          <w:szCs w:val="18"/>
        </w:rPr>
        <w:t xml:space="preserve">22. Johnston, P. "Retrieval-augmented generation (RAG): towards a promising LLM architecture for legal work?" Harvard JOLT Digest, April 2, 2025.</w:t>
      </w:r>
    </w:p>
    <w:p>
      <w:pPr>
        <w:spacing w:before="20" w:after="60"/>
      </w:pPr>
      <w:r>
        <w:rPr>
          <w:rFonts w:ascii="Georgia" w:cs="Georgia" w:eastAsia="Georgia" w:hAnsi="Georgia"/>
          <w:color w:val="444444"/>
          <w:sz w:val="18"/>
          <w:szCs w:val="18"/>
        </w:rPr>
        <w:t xml:space="preserve">23. Legal Services Corporation. "The Justice Gap." April 2022. justicegap.lsc.gov.</w:t>
      </w:r>
    </w:p>
    <w:p>
      <w:pPr>
        <w:spacing w:before="20" w:after="60"/>
      </w:pPr>
      <w:r>
        <w:rPr>
          <w:rFonts w:ascii="Georgia" w:cs="Georgia" w:eastAsia="Georgia" w:hAnsi="Georgia"/>
          <w:color w:val="444444"/>
          <w:sz w:val="18"/>
          <w:szCs w:val="18"/>
        </w:rPr>
        <w:t xml:space="preserve">24. AffiniPay / Federal Bar Association. "The Legal Industry Report 2025."</w:t>
      </w:r>
    </w:p>
    <w:p>
      <w:pPr>
        <w:spacing w:before="20" w:after="60"/>
      </w:pPr>
      <w:r>
        <w:rPr>
          <w:rFonts w:ascii="Georgia" w:cs="Georgia" w:eastAsia="Georgia" w:hAnsi="Georgia"/>
          <w:color w:val="444444"/>
          <w:sz w:val="18"/>
          <w:szCs w:val="18"/>
        </w:rPr>
        <w:t xml:space="preserve">25. Deeks, A. "The Judicial Demand for Explainable Artificial Intelligence." Columbia Law Review, 119(7), 2019.</w:t>
      </w:r>
    </w:p>
    <w:p>
      <w:pPr>
        <w:spacing w:before="120" w:after="0"/>
      </w:pPr>
    </w:p>
    <w:p>
      <w:pPr>
        <w:pBdr>
          <w:bottom w:val="single" w:color="C9962B" w:sz="8" w:space="1"/>
        </w:pBdr>
        <w:spacing w:before="120" w:after="120"/>
      </w:pPr>
    </w:p>
    <w:p>
      <w:pPr>
        <w:spacing w:before="80" w:after="0"/>
      </w:pPr>
    </w:p>
    <w:p>
      <w:pPr>
        <w:spacing w:before="40" w:after="60"/>
      </w:pPr>
      <w:r>
        <w:rPr>
          <w:rFonts w:ascii="Arial" w:cs="Arial" w:eastAsia="Arial" w:hAnsi="Arial"/>
          <w:b/>
          <w:bCs/>
          <w:caps/>
          <w:color w:val="1B3A6B"/>
          <w:sz w:val="20"/>
          <w:szCs w:val="20"/>
        </w:rPr>
        <w:t xml:space="preserve">ABOUT THE AUTHOR</w:t>
      </w:r>
    </w:p>
    <w:p>
      <w:pPr>
        <w:spacing w:before="40" w:after="60"/>
      </w:pPr>
      <w:r>
        <w:rPr>
          <w:rFonts w:ascii="Georgia" w:cs="Georgia" w:eastAsia="Georgia" w:hAnsi="Georgia"/>
          <w:b/>
          <w:bCs/>
          <w:sz w:val="20"/>
          <w:szCs w:val="20"/>
        </w:rPr>
        <w:t xml:space="preserve">Matt Mishak</w:t>
      </w:r>
      <w:r>
        <w:rPr>
          <w:rFonts w:ascii="Georgia" w:cs="Georgia" w:eastAsia="Georgia" w:hAnsi="Georgia"/>
          <w:sz w:val="20"/>
          <w:szCs w:val="20"/>
        </w:rPr>
        <w:t xml:space="preserve"> is the Founder &amp; CEO of LegalTek.ai LLC (d/b/a SilverTung), an AI-powered legal document automation platform specializing in Ohio domestic relations cases. A practicing attorney with 20 years of experience in Ohio family law, he also serves as Law Director for the Village of South Amherst, Ohio. He has worked with major AI organizations including OpenAI, Anthropic, and Google DeepMind on AI governance and prompt engineering frameworks. SilverTung is built on his proprietary COUNSEL and G3M methodologies for legal AI governance.</w:t>
      </w:r>
    </w:p>
    <w:p>
      <w:pPr>
        <w:spacing w:before="40" w:after="40"/>
      </w:pPr>
      <w:r>
        <w:rPr>
          <w:rFonts w:ascii="Arial" w:cs="Arial" w:eastAsia="Arial" w:hAnsi="Arial"/>
          <w:i/>
          <w:iCs/>
          <w:color w:val="1B3A6B"/>
          <w:sz w:val="18"/>
          <w:szCs w:val="18"/>
        </w:rPr>
        <w:t xml:space="preserve">LegalTek.ai LLC  |  Lorain County, Ohio  |  legaltek.ai</w:t>
      </w:r>
    </w:p>
    <w:p>
      <w:pPr>
        <w:spacing w:before="80" w:after="0"/>
      </w:pPr>
    </w:p>
    <w:p>
      <w:pPr>
        <w:spacing w:before="40" w:after="0"/>
        <w:jc w:val="center"/>
      </w:pPr>
      <w:r>
        <w:rPr>
          <w:rFonts w:ascii="Georgia" w:cs="Georgia" w:eastAsia="Georgia" w:hAnsi="Georgia"/>
          <w:i/>
          <w:iCs/>
          <w:color w:val="888888"/>
          <w:sz w:val="16"/>
          <w:szCs w:val="16"/>
        </w:rPr>
        <w:t xml:space="preserve">© 2026 LegalTek.ai LLC. All rights reserved. This article is provided for informational purposes only and does not constitute legal advice.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B3A6B"/>
      <w:sz w:val="32"/>
      <w:szCs w:val="32"/>
    </w:rPr>
  </w:style>
  <w:style w:type="paragraph" w:styleId="Heading2">
    <w:name w:val="Heading 2"/>
    <w:basedOn w:val="Normal"/>
    <w:next w:val="Normal"/>
    <w:qFormat/>
    <w:pPr>
      <w:spacing w:before="240" w:after="100"/>
      <w:outlineLvl w:val="1"/>
    </w:pPr>
    <w:rPr>
      <w:rFonts w:ascii="Arial" w:cs="Arial" w:eastAsia="Arial" w:hAnsi="Arial"/>
      <w:b/>
      <w:bCs/>
      <w:color w:val="1B3A6B"/>
      <w:sz w:val="26"/>
      <w:szCs w:val="26"/>
    </w:rPr>
  </w:style>
  <w:style w:type="paragraph" w:styleId="Heading3">
    <w:name w:val="Heading 3"/>
    <w:basedOn w:val="Normal"/>
    <w:next w:val="Normal"/>
    <w:qFormat/>
    <w:pPr>
      <w:spacing w:before="180" w:after="80"/>
      <w:outlineLvl w:val="2"/>
    </w:pPr>
    <w:rPr>
      <w:rFonts w:ascii="Arial" w:cs="Arial" w:eastAsia="Arial" w:hAnsi="Arial"/>
      <w:b/>
      <w:bCs/>
      <w:color w:val="C996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2026-03-04T06:17:18.138Z</dcterms:created>
  <dcterms:modified xsi:type="dcterms:W3CDTF">2026-03-04T06:17:18.139Z</dcterms:modified>
</cp:coreProperties>
</file>

<file path=docProps/custom.xml><?xml version="1.0" encoding="utf-8"?>
<Properties xmlns="http://schemas.openxmlformats.org/officeDocument/2006/custom-properties" xmlns:vt="http://schemas.openxmlformats.org/officeDocument/2006/docPropsVTypes"/>
</file>